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E2611" w14:textId="64B5D30A" w:rsidR="00951E6D" w:rsidRDefault="00106842" w:rsidP="00A63544">
      <w:pPr>
        <w:rPr>
          <w:b/>
          <w:bCs/>
          <w:i/>
          <w:iCs/>
          <w:color w:val="4472C4" w:themeColor="accent1"/>
        </w:rPr>
      </w:pPr>
      <w:r w:rsidRPr="00832498">
        <w:rPr>
          <w:b/>
          <w:bCs/>
          <w:i/>
          <w:iCs/>
          <w:color w:val="4472C4" w:themeColor="accent1"/>
        </w:rPr>
        <w:t>A</w:t>
      </w:r>
      <w:r w:rsidR="00832498" w:rsidRPr="00832498">
        <w:rPr>
          <w:b/>
          <w:bCs/>
          <w:i/>
          <w:iCs/>
          <w:color w:val="4472C4" w:themeColor="accent1"/>
        </w:rPr>
        <w:t>viation-</w:t>
      </w:r>
      <w:r w:rsidRPr="00832498">
        <w:rPr>
          <w:b/>
          <w:bCs/>
          <w:i/>
          <w:iCs/>
          <w:color w:val="4472C4" w:themeColor="accent1"/>
        </w:rPr>
        <w:t>Industry</w:t>
      </w:r>
      <w:r w:rsidR="00832498" w:rsidRPr="00832498">
        <w:rPr>
          <w:b/>
          <w:bCs/>
          <w:i/>
          <w:iCs/>
          <w:color w:val="4472C4" w:themeColor="accent1"/>
        </w:rPr>
        <w:t>-News</w:t>
      </w:r>
      <w:r w:rsidRPr="00832498">
        <w:rPr>
          <w:b/>
          <w:bCs/>
          <w:i/>
          <w:iCs/>
          <w:color w:val="4472C4" w:themeColor="accent1"/>
        </w:rPr>
        <w:t>.com</w:t>
      </w:r>
    </w:p>
    <w:p w14:paraId="0097EF07" w14:textId="0F6A6DBC" w:rsidR="00D90248" w:rsidRPr="001219B8" w:rsidRDefault="00D90248" w:rsidP="00D90248">
      <w:pPr>
        <w:ind w:left="708" w:firstLine="708"/>
        <w:rPr>
          <w:b/>
          <w:bCs/>
          <w:color w:val="00B0F0"/>
          <w:sz w:val="28"/>
          <w:szCs w:val="28"/>
        </w:rPr>
      </w:pPr>
      <w:r w:rsidRPr="001219B8">
        <w:rPr>
          <w:b/>
          <w:bCs/>
          <w:color w:val="00B0F0"/>
          <w:sz w:val="28"/>
          <w:szCs w:val="28"/>
        </w:rPr>
        <w:t>UN VIAGGIO FARAO</w:t>
      </w:r>
      <w:r w:rsidR="00673891">
        <w:rPr>
          <w:b/>
          <w:bCs/>
          <w:color w:val="00B0F0"/>
          <w:sz w:val="28"/>
          <w:szCs w:val="28"/>
        </w:rPr>
        <w:t>N</w:t>
      </w:r>
      <w:r w:rsidRPr="001219B8">
        <w:rPr>
          <w:b/>
          <w:bCs/>
          <w:color w:val="00B0F0"/>
          <w:sz w:val="28"/>
          <w:szCs w:val="28"/>
        </w:rPr>
        <w:t>ICO: RAMSETE II° DAL CAIRO A PARIGI</w:t>
      </w:r>
    </w:p>
    <w:p w14:paraId="5FB9987D" w14:textId="77777777" w:rsidR="00D90248" w:rsidRDefault="00D90248" w:rsidP="00D90248">
      <w:r>
        <w:t>Non accade di frequente di parlare del trasporto via aerea del sarcofago di un faraone egiziano. La scorsa settimana, la bara di Ramses II è stata trasportata a Parigi a bordo di un Airbus A350 di Air France.</w:t>
      </w:r>
    </w:p>
    <w:p w14:paraId="6E1BCF0C" w14:textId="01008238" w:rsidR="00D90248" w:rsidRDefault="00D90248" w:rsidP="00D90248">
      <w:r>
        <w:t>Non a caso l</w:t>
      </w:r>
      <w:r w:rsidRPr="007C2DC6">
        <w:t>a flotta presidenziale francese è composta principalmente da A330-200, A310 e A340</w:t>
      </w:r>
      <w:r>
        <w:t>, quindi è sembrato</w:t>
      </w:r>
      <w:r w:rsidRPr="007C2DC6">
        <w:t xml:space="preserve"> </w:t>
      </w:r>
      <w:r>
        <w:t xml:space="preserve">alquanto opportuno </w:t>
      </w:r>
      <w:r w:rsidRPr="007C2DC6">
        <w:t xml:space="preserve">che </w:t>
      </w:r>
      <w:r>
        <w:t>un velivolo Airbus sia servito</w:t>
      </w:r>
      <w:r w:rsidRPr="007C2DC6">
        <w:t xml:space="preserve"> a trasportare la bara di un leader di un antico regno.</w:t>
      </w:r>
    </w:p>
    <w:p w14:paraId="3BE2EA48" w14:textId="77777777" w:rsidR="00D90248" w:rsidRDefault="00D90248" w:rsidP="00D90248">
      <w:r>
        <w:t>L’Airbus 350 di Air France era il F-HTYS in un volo della durata di 4.:20 che non ha sorvolato l’Italia preferendo la rotta Grecia-Serbia-Croazia-Austria. L’aereo era giunto al Cairo nella serata del 27 marzo ed è ripartito alla volta di Parigi poco dopo la mezzanotte (UTC) e giungendo al Charles Del Gaulle alle prime luci dell’alba del 28 marzo.</w:t>
      </w:r>
    </w:p>
    <w:p w14:paraId="0B42ADCB" w14:textId="77777777" w:rsidR="00D90248" w:rsidRDefault="00D90248" w:rsidP="00D90248">
      <w:pPr>
        <w:jc w:val="center"/>
      </w:pPr>
      <w:r w:rsidRPr="001E1C76">
        <w:rPr>
          <w:noProof/>
          <w:bdr w:val="single" w:sz="4" w:space="0" w:color="auto"/>
        </w:rPr>
        <w:drawing>
          <wp:inline distT="0" distB="0" distL="0" distR="0" wp14:anchorId="2FE77231" wp14:editId="5D148995">
            <wp:extent cx="4204800" cy="2530800"/>
            <wp:effectExtent l="0" t="0" r="5715" b="31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04800" cy="2530800"/>
                    </a:xfrm>
                    <a:prstGeom prst="rect">
                      <a:avLst/>
                    </a:prstGeom>
                  </pic:spPr>
                </pic:pic>
              </a:graphicData>
            </a:graphic>
          </wp:inline>
        </w:drawing>
      </w:r>
    </w:p>
    <w:p w14:paraId="1811EBDD" w14:textId="085CE164" w:rsidR="00D90248" w:rsidRDefault="00D90248" w:rsidP="00D90248">
      <w:pPr>
        <w:pBdr>
          <w:top w:val="single" w:sz="4" w:space="1" w:color="auto"/>
          <w:left w:val="single" w:sz="4" w:space="4" w:color="auto"/>
          <w:bottom w:val="single" w:sz="4" w:space="1" w:color="auto"/>
          <w:right w:val="single" w:sz="4" w:space="4" w:color="auto"/>
        </w:pBdr>
      </w:pPr>
      <w:r w:rsidRPr="007C2DC6">
        <w:t>Conosciuto comunemente come Ramesse il Grande, Ramses II regnò nel Nuovo Regno dell'Antico Egitto tra il 1279 e il 1213 a.C. Dopo quasi mezzo secolo d</w:t>
      </w:r>
      <w:r w:rsidR="00D00887">
        <w:t>all’ultima</w:t>
      </w:r>
      <w:r w:rsidRPr="007C2DC6">
        <w:t xml:space="preserve"> permanenza in Francia</w:t>
      </w:r>
      <w:r w:rsidR="00D00887">
        <w:t xml:space="preserve"> (1974-1976)</w:t>
      </w:r>
      <w:r w:rsidRPr="007C2DC6">
        <w:t xml:space="preserve">, il sarcofago del faraone torna a Parigi in prestito dall'Egitto. Una mostra speciale, Ramses il Grande e l'oro dei faraoni, sarà ospitata alla </w:t>
      </w:r>
      <w:r w:rsidRPr="00D41444">
        <w:rPr>
          <w:i/>
          <w:iCs/>
        </w:rPr>
        <w:t>Grande Halle de la Villette</w:t>
      </w:r>
      <w:r w:rsidRPr="007C2DC6">
        <w:t xml:space="preserve"> tra il 7 aprile e il 6 settembre</w:t>
      </w:r>
      <w:r>
        <w:t xml:space="preserve"> prossimi</w:t>
      </w:r>
      <w:r w:rsidRPr="007C2DC6">
        <w:t xml:space="preserve">. </w:t>
      </w:r>
    </w:p>
    <w:p w14:paraId="029229B9" w14:textId="0B90454F" w:rsidR="00D90248" w:rsidRPr="008D6D46" w:rsidRDefault="00D90248" w:rsidP="00D90248">
      <w:pPr>
        <w:pBdr>
          <w:top w:val="single" w:sz="4" w:space="1" w:color="auto"/>
          <w:left w:val="single" w:sz="4" w:space="4" w:color="auto"/>
          <w:bottom w:val="single" w:sz="4" w:space="1" w:color="auto"/>
          <w:right w:val="single" w:sz="4" w:space="4" w:color="auto"/>
        </w:pBdr>
        <w:shd w:val="clear" w:color="auto" w:fill="FFFFFF"/>
        <w:spacing w:before="120" w:after="120" w:line="276" w:lineRule="auto"/>
        <w:rPr>
          <w:rFonts w:eastAsia="Times New Roman" w:cstheme="minorHAnsi"/>
          <w:lang w:eastAsia="it-IT"/>
        </w:rPr>
      </w:pPr>
      <w:r w:rsidRPr="001219B8">
        <w:rPr>
          <w:rFonts w:eastAsia="Times New Roman" w:cstheme="minorHAnsi"/>
          <w:lang w:eastAsia="it-IT"/>
        </w:rPr>
        <w:t>Noto anche come Ramesse II, Ramsete II e Ramses il Grande è ricordato come il più grande, potente e celebrato faraone dell'</w:t>
      </w:r>
      <w:hyperlink r:id="rId6" w:tooltip="Impero Egizio" w:history="1">
        <w:r w:rsidRPr="001219B8">
          <w:rPr>
            <w:rFonts w:eastAsia="Times New Roman" w:cstheme="minorHAnsi"/>
            <w:lang w:eastAsia="it-IT"/>
          </w:rPr>
          <w:t>impero egizio</w:t>
        </w:r>
      </w:hyperlink>
      <w:r w:rsidR="00A55167">
        <w:rPr>
          <w:rFonts w:eastAsia="Times New Roman" w:cstheme="minorHAnsi"/>
          <w:lang w:eastAsia="it-IT"/>
        </w:rPr>
        <w:t>.</w:t>
      </w:r>
      <w:r w:rsidRPr="001219B8">
        <w:rPr>
          <w:rFonts w:eastAsia="Times New Roman" w:cstheme="minorHAnsi"/>
          <w:lang w:eastAsia="it-IT"/>
        </w:rPr>
        <w:t xml:space="preserve"> </w:t>
      </w:r>
      <w:r w:rsidRPr="008D6D46">
        <w:rPr>
          <w:rFonts w:eastAsia="Times New Roman" w:cstheme="minorHAnsi"/>
          <w:lang w:eastAsia="it-IT"/>
        </w:rPr>
        <w:t xml:space="preserve"> </w:t>
      </w:r>
      <w:r w:rsidRPr="001219B8">
        <w:rPr>
          <w:rFonts w:eastAsia="Times New Roman" w:cstheme="minorHAnsi"/>
          <w:lang w:eastAsia="it-IT"/>
        </w:rPr>
        <w:t>A causa della </w:t>
      </w:r>
      <w:hyperlink r:id="rId7" w:tooltip="Sovrani che hanno regnato più a lungo" w:history="1">
        <w:r w:rsidRPr="001219B8">
          <w:rPr>
            <w:rFonts w:eastAsia="Times New Roman" w:cstheme="minorHAnsi"/>
            <w:lang w:eastAsia="it-IT"/>
          </w:rPr>
          <w:t>durata eccezionale del suo regno</w:t>
        </w:r>
      </w:hyperlink>
      <w:r w:rsidRPr="001219B8">
        <w:rPr>
          <w:rFonts w:eastAsia="Times New Roman" w:cstheme="minorHAnsi"/>
          <w:lang w:eastAsia="it-IT"/>
        </w:rPr>
        <w:t> (quasi un settantennio: considerando però la sua </w:t>
      </w:r>
      <w:hyperlink r:id="rId8" w:tooltip="Principe reggente" w:history="1">
        <w:r w:rsidRPr="001219B8">
          <w:rPr>
            <w:rFonts w:eastAsia="Times New Roman" w:cstheme="minorHAnsi"/>
            <w:lang w:eastAsia="it-IT"/>
          </w:rPr>
          <w:t>associazione al trono</w:t>
        </w:r>
      </w:hyperlink>
      <w:r w:rsidRPr="001219B8">
        <w:rPr>
          <w:rFonts w:eastAsia="Times New Roman" w:cstheme="minorHAnsi"/>
          <w:lang w:eastAsia="it-IT"/>
        </w:rPr>
        <w:t> quando il padre era ancora in vita, giunse a 75 anni di governo effettivo del Paese),  l'egittologo britannico </w:t>
      </w:r>
      <w:hyperlink r:id="rId9" w:tooltip="Kenneth Kitchen" w:history="1">
        <w:r w:rsidRPr="001219B8">
          <w:rPr>
            <w:rFonts w:eastAsia="Times New Roman" w:cstheme="minorHAnsi"/>
            <w:lang w:eastAsia="it-IT"/>
          </w:rPr>
          <w:t>Kenneth Kitchen</w:t>
        </w:r>
      </w:hyperlink>
      <w:r w:rsidRPr="001219B8">
        <w:rPr>
          <w:rFonts w:eastAsia="Times New Roman" w:cstheme="minorHAnsi"/>
          <w:lang w:eastAsia="it-IT"/>
        </w:rPr>
        <w:t> ha paragonato</w:t>
      </w:r>
      <w:r w:rsidR="00A55167">
        <w:rPr>
          <w:rFonts w:eastAsia="Times New Roman" w:cstheme="minorHAnsi"/>
          <w:lang w:eastAsia="it-IT"/>
        </w:rPr>
        <w:t xml:space="preserve"> il suo regno</w:t>
      </w:r>
      <w:r w:rsidRPr="001219B8">
        <w:rPr>
          <w:rFonts w:eastAsia="Times New Roman" w:cstheme="minorHAnsi"/>
          <w:lang w:eastAsia="it-IT"/>
        </w:rPr>
        <w:t xml:space="preserve"> a quello della regina </w:t>
      </w:r>
      <w:hyperlink r:id="rId10" w:tooltip="Vittoria del Regno Unito" w:history="1">
        <w:r w:rsidRPr="001219B8">
          <w:rPr>
            <w:rFonts w:eastAsia="Times New Roman" w:cstheme="minorHAnsi"/>
            <w:lang w:eastAsia="it-IT"/>
          </w:rPr>
          <w:t>Vittoria del Regno Unito</w:t>
        </w:r>
      </w:hyperlink>
      <w:r>
        <w:rPr>
          <w:rFonts w:eastAsia="Times New Roman" w:cstheme="minorHAnsi"/>
          <w:lang w:eastAsia="it-IT"/>
        </w:rPr>
        <w:t>.</w:t>
      </w:r>
      <w:r w:rsidRPr="008D6D46">
        <w:rPr>
          <w:rFonts w:eastAsia="Times New Roman" w:cstheme="minorHAnsi"/>
          <w:lang w:eastAsia="it-IT"/>
        </w:rPr>
        <w:t xml:space="preserve"> Il corpo di Ramses II fu scoperto nel Cache Reale dagli archeologi nel 1881. Oggi è abitualmente esposto al Museo Nazionale della Civiltà Egizia del Cairo. L'ultima volta che la mummia si è recata a Parigi</w:t>
      </w:r>
      <w:r>
        <w:rPr>
          <w:rFonts w:eastAsia="Times New Roman" w:cstheme="minorHAnsi"/>
          <w:lang w:eastAsia="it-IT"/>
        </w:rPr>
        <w:t xml:space="preserve"> nel 1974</w:t>
      </w:r>
      <w:r w:rsidRPr="008D6D46">
        <w:rPr>
          <w:rFonts w:eastAsia="Times New Roman" w:cstheme="minorHAnsi"/>
          <w:lang w:eastAsia="it-IT"/>
        </w:rPr>
        <w:t>, è stata sottoposta a un tentativo di irradiazione per eliminare funghi e batteri. Fu poi restituita all'Egitto nel maggio 197</w:t>
      </w:r>
      <w:r w:rsidR="0041428A">
        <w:rPr>
          <w:rFonts w:eastAsia="Times New Roman" w:cstheme="minorHAnsi"/>
          <w:lang w:eastAsia="it-IT"/>
        </w:rPr>
        <w:t>6</w:t>
      </w:r>
      <w:r w:rsidRPr="008D6D46">
        <w:rPr>
          <w:rFonts w:eastAsia="Times New Roman" w:cstheme="minorHAnsi"/>
          <w:lang w:eastAsia="it-IT"/>
        </w:rPr>
        <w:t>.</w:t>
      </w:r>
    </w:p>
    <w:p w14:paraId="3C5746AB" w14:textId="2049E7B8" w:rsidR="00D90248" w:rsidRDefault="00D90248" w:rsidP="00D90248">
      <w:pPr>
        <w:shd w:val="clear" w:color="auto" w:fill="FFFFFF"/>
        <w:spacing w:before="120" w:after="120" w:line="276" w:lineRule="auto"/>
        <w:rPr>
          <w:rFonts w:cstheme="minorHAnsi"/>
          <w:color w:val="222222"/>
          <w:shd w:val="clear" w:color="auto" w:fill="FFFFFF"/>
        </w:rPr>
      </w:pPr>
      <w:r w:rsidRPr="0041428A">
        <w:rPr>
          <w:rFonts w:cstheme="minorHAnsi"/>
          <w:color w:val="222222"/>
          <w:u w:val="single"/>
          <w:shd w:val="clear" w:color="auto" w:fill="FFFFFF"/>
        </w:rPr>
        <w:t>In realtà in questo ultimo viaggio vi è un particolare da chiarire</w:t>
      </w:r>
      <w:r>
        <w:rPr>
          <w:rFonts w:cstheme="minorHAnsi"/>
          <w:color w:val="222222"/>
          <w:shd w:val="clear" w:color="auto" w:fill="FFFFFF"/>
        </w:rPr>
        <w:t>. La legislazione egiziana vieta i viaggi all’estero delle mummie appartenenti a personaggi reali farao</w:t>
      </w:r>
      <w:r w:rsidR="00673891">
        <w:rPr>
          <w:rFonts w:cstheme="minorHAnsi"/>
          <w:color w:val="222222"/>
          <w:shd w:val="clear" w:color="auto" w:fill="FFFFFF"/>
        </w:rPr>
        <w:t>n</w:t>
      </w:r>
      <w:r>
        <w:rPr>
          <w:rFonts w:cstheme="minorHAnsi"/>
          <w:color w:val="222222"/>
          <w:shd w:val="clear" w:color="auto" w:fill="FFFFFF"/>
        </w:rPr>
        <w:t xml:space="preserve">ici. </w:t>
      </w:r>
      <w:r w:rsidRPr="008D6D46">
        <w:rPr>
          <w:rFonts w:cstheme="minorHAnsi"/>
          <w:color w:val="222222"/>
          <w:shd w:val="clear" w:color="auto" w:fill="FFFFFF"/>
        </w:rPr>
        <w:t>Quella</w:t>
      </w:r>
      <w:r>
        <w:rPr>
          <w:rFonts w:cstheme="minorHAnsi"/>
          <w:color w:val="222222"/>
          <w:shd w:val="clear" w:color="auto" w:fill="FFFFFF"/>
        </w:rPr>
        <w:t xml:space="preserve"> che si terrà alla</w:t>
      </w:r>
      <w:r w:rsidRPr="008D6D46">
        <w:rPr>
          <w:rFonts w:cstheme="minorHAnsi"/>
          <w:color w:val="222222"/>
          <w:shd w:val="clear" w:color="auto" w:fill="FFFFFF"/>
        </w:rPr>
        <w:t xml:space="preserve"> </w:t>
      </w:r>
      <w:r w:rsidRPr="00D41444">
        <w:rPr>
          <w:i/>
          <w:iCs/>
        </w:rPr>
        <w:t>Grande Halle de la Villette</w:t>
      </w:r>
      <w:r w:rsidRPr="007C2DC6">
        <w:t xml:space="preserve"> </w:t>
      </w:r>
      <w:r w:rsidRPr="008D6D46">
        <w:rPr>
          <w:rFonts w:cstheme="minorHAnsi"/>
          <w:color w:val="222222"/>
          <w:shd w:val="clear" w:color="auto" w:fill="FFFFFF"/>
        </w:rPr>
        <w:t>è la seconda mostra organizzata a Parigi</w:t>
      </w:r>
      <w:r>
        <w:rPr>
          <w:rFonts w:cstheme="minorHAnsi"/>
          <w:color w:val="222222"/>
          <w:shd w:val="clear" w:color="auto" w:fill="FFFFFF"/>
        </w:rPr>
        <w:t xml:space="preserve"> </w:t>
      </w:r>
      <w:r w:rsidRPr="008D6D46">
        <w:rPr>
          <w:rFonts w:cstheme="minorHAnsi"/>
          <w:color w:val="222222"/>
          <w:shd w:val="clear" w:color="auto" w:fill="FFFFFF"/>
        </w:rPr>
        <w:t xml:space="preserve">dedicata a Ramesse il più celebre di tutti faraoni: la prima venne allestita al Grand Palais nel 1976 in occasione del restauro della sua mummia che aveva vissuto numerose peripezie fin dall’Antichità, ed era stata attaccata da funghi che ne minacciavano l’integrità: restauro che fu </w:t>
      </w:r>
      <w:r>
        <w:rPr>
          <w:rFonts w:cstheme="minorHAnsi"/>
          <w:color w:val="222222"/>
          <w:shd w:val="clear" w:color="auto" w:fill="FFFFFF"/>
        </w:rPr>
        <w:t xml:space="preserve">appunto </w:t>
      </w:r>
      <w:r w:rsidRPr="008D6D46">
        <w:rPr>
          <w:rFonts w:cstheme="minorHAnsi"/>
          <w:color w:val="222222"/>
          <w:shd w:val="clear" w:color="auto" w:fill="FFFFFF"/>
        </w:rPr>
        <w:t xml:space="preserve">eseguito proprio a Parigi eseguito da specialisti del Musée de l’Homme. </w:t>
      </w:r>
      <w:r w:rsidR="0039041B" w:rsidRPr="0039041B">
        <w:rPr>
          <w:rFonts w:cstheme="minorHAnsi"/>
          <w:b/>
          <w:bCs/>
          <w:color w:val="222222"/>
          <w:shd w:val="clear" w:color="auto" w:fill="FFFFFF"/>
        </w:rPr>
        <w:t xml:space="preserve">Ma questa </w:t>
      </w:r>
      <w:r w:rsidR="0039041B" w:rsidRPr="0039041B">
        <w:rPr>
          <w:rFonts w:cstheme="minorHAnsi"/>
          <w:b/>
          <w:bCs/>
          <w:color w:val="222222"/>
          <w:shd w:val="clear" w:color="auto" w:fill="FFFFFF"/>
        </w:rPr>
        <w:lastRenderedPageBreak/>
        <w:t>volta n</w:t>
      </w:r>
      <w:r w:rsidRPr="0039041B">
        <w:rPr>
          <w:rFonts w:cstheme="minorHAnsi"/>
          <w:b/>
          <w:bCs/>
          <w:color w:val="222222"/>
          <w:shd w:val="clear" w:color="auto" w:fill="FFFFFF"/>
        </w:rPr>
        <w:t>e</w:t>
      </w:r>
      <w:r w:rsidRPr="008D6D46">
        <w:rPr>
          <w:rFonts w:cstheme="minorHAnsi"/>
          <w:b/>
          <w:bCs/>
          <w:color w:val="222222"/>
          <w:shd w:val="clear" w:color="auto" w:fill="FFFFFF"/>
        </w:rPr>
        <w:t>lla mostra parigina non ci sarà la mummia del faraone, non trasportabile</w:t>
      </w:r>
      <w:r>
        <w:rPr>
          <w:rFonts w:cstheme="minorHAnsi"/>
          <w:b/>
          <w:bCs/>
          <w:color w:val="222222"/>
          <w:shd w:val="clear" w:color="auto" w:fill="FFFFFF"/>
        </w:rPr>
        <w:t xml:space="preserve"> all’estero</w:t>
      </w:r>
      <w:r w:rsidRPr="008D6D46">
        <w:rPr>
          <w:rFonts w:cstheme="minorHAnsi"/>
          <w:b/>
          <w:bCs/>
          <w:color w:val="222222"/>
          <w:shd w:val="clear" w:color="auto" w:fill="FFFFFF"/>
        </w:rPr>
        <w:t xml:space="preserve">, ma in via eccezionale il suo splendido sarcofago in cedro del </w:t>
      </w:r>
      <w:r w:rsidR="00AC5795">
        <w:rPr>
          <w:rFonts w:cstheme="minorHAnsi"/>
          <w:b/>
          <w:bCs/>
          <w:color w:val="222222"/>
          <w:shd w:val="clear" w:color="auto" w:fill="FFFFFF"/>
        </w:rPr>
        <w:t>L</w:t>
      </w:r>
      <w:r w:rsidRPr="008D6D46">
        <w:rPr>
          <w:rFonts w:cstheme="minorHAnsi"/>
          <w:b/>
          <w:bCs/>
          <w:color w:val="222222"/>
          <w:shd w:val="clear" w:color="auto" w:fill="FFFFFF"/>
        </w:rPr>
        <w:t>ibano che giunge in Francia per la seconda volta</w:t>
      </w:r>
      <w:r>
        <w:rPr>
          <w:rFonts w:ascii="Verdana" w:hAnsi="Verdana"/>
          <w:color w:val="222222"/>
          <w:sz w:val="23"/>
          <w:szCs w:val="23"/>
          <w:shd w:val="clear" w:color="auto" w:fill="FFFFFF"/>
        </w:rPr>
        <w:t xml:space="preserve"> </w:t>
      </w:r>
      <w:r w:rsidRPr="008D6D46">
        <w:rPr>
          <w:rFonts w:cstheme="minorHAnsi"/>
          <w:color w:val="222222"/>
          <w:shd w:val="clear" w:color="auto" w:fill="FFFFFF"/>
        </w:rPr>
        <w:t>e che non sarà più esposto nei successivi allestimenti della mostra</w:t>
      </w:r>
      <w:r>
        <w:rPr>
          <w:rFonts w:cstheme="minorHAnsi"/>
          <w:color w:val="222222"/>
          <w:shd w:val="clear" w:color="auto" w:fill="FFFFFF"/>
        </w:rPr>
        <w:t xml:space="preserve"> che sono</w:t>
      </w:r>
      <w:r w:rsidRPr="008D6D46">
        <w:rPr>
          <w:rFonts w:cstheme="minorHAnsi"/>
          <w:color w:val="222222"/>
          <w:shd w:val="clear" w:color="auto" w:fill="FFFFFF"/>
        </w:rPr>
        <w:t xml:space="preserve"> previsti a Londra e in Australia. Per la prima volta, invece, lascia l’Egitto una magnifica statua di Ramesse II che si trova nel nuovo Museo di Sharm el Sheikh e che è stata usata per realizzare il manifesto della</w:t>
      </w:r>
      <w:r>
        <w:rPr>
          <w:rFonts w:ascii="Verdana" w:hAnsi="Verdana"/>
          <w:color w:val="222222"/>
          <w:sz w:val="23"/>
          <w:szCs w:val="23"/>
          <w:shd w:val="clear" w:color="auto" w:fill="FFFFFF"/>
        </w:rPr>
        <w:t xml:space="preserve"> </w:t>
      </w:r>
      <w:r w:rsidRPr="008D6D46">
        <w:rPr>
          <w:rFonts w:cstheme="minorHAnsi"/>
          <w:color w:val="222222"/>
          <w:shd w:val="clear" w:color="auto" w:fill="FFFFFF"/>
        </w:rPr>
        <w:t xml:space="preserve">mostra: la grande statua in calcare bianco rappresenta il re che indossa il tipico copricapo dei sovrani chiamato </w:t>
      </w:r>
      <w:r w:rsidR="00673891">
        <w:rPr>
          <w:rFonts w:cstheme="minorHAnsi"/>
          <w:color w:val="222222"/>
          <w:shd w:val="clear" w:color="auto" w:fill="FFFFFF"/>
        </w:rPr>
        <w:t>n</w:t>
      </w:r>
      <w:r w:rsidRPr="008D6D46">
        <w:rPr>
          <w:rFonts w:cstheme="minorHAnsi"/>
          <w:color w:val="222222"/>
          <w:shd w:val="clear" w:color="auto" w:fill="FFFFFF"/>
        </w:rPr>
        <w:t xml:space="preserve">emes con il mento ornato dalla barba rituale e </w:t>
      </w:r>
      <w:r w:rsidR="00AC5795">
        <w:rPr>
          <w:rFonts w:cstheme="minorHAnsi"/>
          <w:color w:val="222222"/>
          <w:shd w:val="clear" w:color="auto" w:fill="FFFFFF"/>
        </w:rPr>
        <w:t xml:space="preserve">che </w:t>
      </w:r>
      <w:r w:rsidRPr="008D6D46">
        <w:rPr>
          <w:rFonts w:cstheme="minorHAnsi"/>
          <w:color w:val="222222"/>
          <w:shd w:val="clear" w:color="auto" w:fill="FFFFFF"/>
        </w:rPr>
        <w:t>tiene nelle mani due rotoli di papiro che simboleggiano il potere trasmesso.</w:t>
      </w:r>
    </w:p>
    <w:p w14:paraId="7B3EEB42" w14:textId="77777777" w:rsidR="00D90248" w:rsidRDefault="00D90248" w:rsidP="00D90248">
      <w:pPr>
        <w:shd w:val="clear" w:color="auto" w:fill="FFFFFF"/>
        <w:spacing w:before="120" w:after="120" w:line="276" w:lineRule="auto"/>
        <w:rPr>
          <w:rFonts w:cstheme="minorHAnsi"/>
          <w:color w:val="222222"/>
          <w:shd w:val="clear" w:color="auto" w:fill="FFFFFF"/>
        </w:rPr>
      </w:pPr>
      <w:r>
        <w:rPr>
          <w:rFonts w:cstheme="minorHAnsi"/>
          <w:noProof/>
          <w:color w:val="222222"/>
          <w:shd w:val="clear" w:color="auto" w:fill="FFFFFF"/>
        </w:rPr>
        <w:drawing>
          <wp:inline distT="0" distB="0" distL="0" distR="0" wp14:anchorId="77EEF36A" wp14:editId="24FD24FE">
            <wp:extent cx="964800" cy="1648800"/>
            <wp:effectExtent l="0" t="0" r="6985" b="889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magine 2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4800" cy="1648800"/>
                    </a:xfrm>
                    <a:prstGeom prst="rect">
                      <a:avLst/>
                    </a:prstGeom>
                  </pic:spPr>
                </pic:pic>
              </a:graphicData>
            </a:graphic>
          </wp:inline>
        </w:drawing>
      </w:r>
    </w:p>
    <w:p w14:paraId="37D42B5A" w14:textId="4E4B3BCF" w:rsidR="00D90248" w:rsidRDefault="00D90248" w:rsidP="00D90248">
      <w:pPr>
        <w:shd w:val="clear" w:color="auto" w:fill="FFFFFF"/>
        <w:spacing w:before="120" w:after="120" w:line="276" w:lineRule="auto"/>
        <w:rPr>
          <w:rFonts w:cstheme="minorHAnsi"/>
          <w:color w:val="222222"/>
          <w:shd w:val="clear" w:color="auto" w:fill="FFFFFF"/>
        </w:rPr>
      </w:pPr>
      <w:r>
        <w:rPr>
          <w:rFonts w:cstheme="minorHAnsi"/>
          <w:color w:val="222222"/>
          <w:shd w:val="clear" w:color="auto" w:fill="FFFFFF"/>
        </w:rPr>
        <w:t xml:space="preserve">Quindi tirando le somme il faraone è rimasto in Egitto, a Parigi sarà possibile ammirare il sarcofago in cedro del Libano e la Statua trasferita temporaneamente da Sharm el Sheikh. Ma se abbiamo ricordato la legge egiziana la quale proibisce i viaggi all’estero dei faraoni, dobbiamo anche ricordare una curiosità della legge francese. Quando nel 1974 la mummia è stata portata in Francia per le cure da muffe e funghi, dal momento che </w:t>
      </w:r>
      <w:r w:rsidRPr="00C01F53">
        <w:rPr>
          <w:rFonts w:cstheme="minorHAnsi"/>
          <w:color w:val="222222"/>
          <w:shd w:val="clear" w:color="auto" w:fill="FFFFFF"/>
        </w:rPr>
        <w:t>la legge francese richiede che ogni persona, viva o morta, voli con un passaporto valido, l'Egitto è stato costretto a rilasciare un passaporto al Faraone, 3.000 anni dopo la sua morte.</w:t>
      </w:r>
      <w:r>
        <w:rPr>
          <w:rFonts w:cstheme="minorHAnsi"/>
          <w:color w:val="222222"/>
          <w:shd w:val="clear" w:color="auto" w:fill="FFFFFF"/>
        </w:rPr>
        <w:t xml:space="preserve"> Paese che vai, regole che trovi.</w:t>
      </w:r>
    </w:p>
    <w:p w14:paraId="618FF695" w14:textId="77777777" w:rsidR="00D90248" w:rsidRDefault="00D90248" w:rsidP="00D90248">
      <w:pPr>
        <w:shd w:val="clear" w:color="auto" w:fill="FFFFFF"/>
        <w:spacing w:before="120" w:after="120" w:line="276" w:lineRule="auto"/>
        <w:jc w:val="center"/>
        <w:rPr>
          <w:rFonts w:cstheme="minorHAnsi"/>
          <w:color w:val="222222"/>
          <w:shd w:val="clear" w:color="auto" w:fill="FFFFFF"/>
        </w:rPr>
      </w:pPr>
      <w:r>
        <w:rPr>
          <w:rFonts w:cstheme="minorHAnsi"/>
          <w:noProof/>
          <w:color w:val="222222"/>
          <w:shd w:val="clear" w:color="auto" w:fill="FFFFFF"/>
        </w:rPr>
        <w:drawing>
          <wp:inline distT="0" distB="0" distL="0" distR="0" wp14:anchorId="1E80E4F0" wp14:editId="51DB9BA9">
            <wp:extent cx="2696400" cy="1872000"/>
            <wp:effectExtent l="0" t="0" r="8890" b="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magine 2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96400" cy="1872000"/>
                    </a:xfrm>
                    <a:prstGeom prst="rect">
                      <a:avLst/>
                    </a:prstGeom>
                  </pic:spPr>
                </pic:pic>
              </a:graphicData>
            </a:graphic>
          </wp:inline>
        </w:drawing>
      </w:r>
      <w:r w:rsidRPr="005E157B">
        <w:rPr>
          <w:rFonts w:cstheme="minorHAnsi"/>
          <w:color w:val="222222"/>
          <w:sz w:val="18"/>
          <w:szCs w:val="18"/>
          <w:shd w:val="clear" w:color="auto" w:fill="FFFFFF"/>
        </w:rPr>
        <w:t xml:space="preserve"> </w:t>
      </w:r>
      <w:r w:rsidRPr="005E157B">
        <w:rPr>
          <w:rFonts w:cstheme="minorHAnsi"/>
          <w:color w:val="FF0000"/>
          <w:sz w:val="18"/>
          <w:szCs w:val="18"/>
          <w:shd w:val="clear" w:color="auto" w:fill="FFFFFF"/>
        </w:rPr>
        <w:t xml:space="preserve">(1)                            </w:t>
      </w:r>
    </w:p>
    <w:p w14:paraId="6AF398A1" w14:textId="77777777" w:rsidR="00D90248" w:rsidRDefault="00D90248" w:rsidP="00D90248">
      <w:pPr>
        <w:shd w:val="clear" w:color="auto" w:fill="FFFFFF"/>
        <w:spacing w:before="120" w:after="120" w:line="276" w:lineRule="auto"/>
        <w:rPr>
          <w:rFonts w:cstheme="minorHAnsi"/>
          <w:color w:val="222222"/>
          <w:shd w:val="clear" w:color="auto" w:fill="FFFFFF"/>
        </w:rPr>
      </w:pPr>
    </w:p>
    <w:p w14:paraId="1E3344E9" w14:textId="77777777" w:rsidR="00D90248" w:rsidRPr="00AC5795" w:rsidRDefault="00D90248" w:rsidP="00D90248">
      <w:pPr>
        <w:pStyle w:val="Paragrafoelenco"/>
        <w:numPr>
          <w:ilvl w:val="0"/>
          <w:numId w:val="6"/>
        </w:numPr>
        <w:shd w:val="clear" w:color="auto" w:fill="FFFFFF"/>
        <w:spacing w:before="120" w:after="120"/>
        <w:rPr>
          <w:rFonts w:cstheme="minorHAnsi"/>
          <w:color w:val="222222"/>
          <w:sz w:val="18"/>
          <w:szCs w:val="18"/>
          <w:shd w:val="clear" w:color="auto" w:fill="FFFFFF"/>
        </w:rPr>
      </w:pPr>
      <w:r w:rsidRPr="00AC5795">
        <w:rPr>
          <w:rFonts w:cstheme="minorHAnsi"/>
          <w:color w:val="222222"/>
          <w:sz w:val="18"/>
          <w:szCs w:val="18"/>
          <w:shd w:val="clear" w:color="auto" w:fill="FFFFFF"/>
        </w:rPr>
        <w:t>Immagine presa da: https://www.heritagedaily.com/2020/03/the-passport-of-ramesses-ii/126812</w:t>
      </w:r>
    </w:p>
    <w:p w14:paraId="71FCB71E" w14:textId="77777777" w:rsidR="00545765" w:rsidRDefault="00545765" w:rsidP="00A63544">
      <w:pPr>
        <w:rPr>
          <w:b/>
          <w:bCs/>
          <w:i/>
          <w:iCs/>
          <w:color w:val="4472C4" w:themeColor="accent1"/>
        </w:rPr>
      </w:pPr>
    </w:p>
    <w:p w14:paraId="7F3BB6FF" w14:textId="77777777" w:rsidR="00E071A0" w:rsidRPr="00667ECD" w:rsidRDefault="00E071A0" w:rsidP="00E071A0">
      <w:pPr>
        <w:jc w:val="center"/>
        <w:rPr>
          <w:b/>
          <w:bCs/>
          <w:i/>
          <w:iCs/>
          <w:color w:val="2E74B5" w:themeColor="accent5" w:themeShade="BF"/>
          <w:sz w:val="24"/>
          <w:szCs w:val="24"/>
        </w:rPr>
      </w:pPr>
      <w:r w:rsidRPr="00667ECD">
        <w:rPr>
          <w:b/>
          <w:bCs/>
          <w:i/>
          <w:iCs/>
          <w:color w:val="2E74B5" w:themeColor="accent5" w:themeShade="BF"/>
          <w:sz w:val="24"/>
          <w:szCs w:val="24"/>
        </w:rPr>
        <w:t>www.Aviation-Industry-News.com</w:t>
      </w:r>
    </w:p>
    <w:p w14:paraId="30E84C99" w14:textId="77777777" w:rsidR="00E071A0" w:rsidRDefault="00E071A0" w:rsidP="00E071A0">
      <w:pPr>
        <w:rPr>
          <w:sz w:val="24"/>
          <w:szCs w:val="24"/>
        </w:rPr>
      </w:pPr>
    </w:p>
    <w:p w14:paraId="60B3D8D6" w14:textId="33CDD5C3" w:rsidR="00E071A0" w:rsidRDefault="00D90248" w:rsidP="000461EC">
      <w:pPr>
        <w:rPr>
          <w:sz w:val="16"/>
          <w:szCs w:val="16"/>
        </w:rPr>
      </w:pPr>
      <w:r>
        <w:rPr>
          <w:sz w:val="16"/>
          <w:szCs w:val="16"/>
        </w:rPr>
        <w:t>03</w:t>
      </w:r>
      <w:r w:rsidR="00E071A0">
        <w:rPr>
          <w:sz w:val="16"/>
          <w:szCs w:val="16"/>
        </w:rPr>
        <w:t>/0</w:t>
      </w:r>
      <w:r>
        <w:rPr>
          <w:sz w:val="16"/>
          <w:szCs w:val="16"/>
        </w:rPr>
        <w:t>4</w:t>
      </w:r>
      <w:r w:rsidR="00E071A0">
        <w:rPr>
          <w:sz w:val="16"/>
          <w:szCs w:val="16"/>
        </w:rPr>
        <w:t>/2023</w:t>
      </w:r>
    </w:p>
    <w:p w14:paraId="6E927BB5" w14:textId="77777777" w:rsidR="00E071A0" w:rsidRDefault="00E071A0" w:rsidP="00E071A0">
      <w:pPr>
        <w:spacing w:after="0"/>
        <w:rPr>
          <w:sz w:val="16"/>
          <w:szCs w:val="16"/>
        </w:rPr>
      </w:pPr>
    </w:p>
    <w:p w14:paraId="4A9FC1EB" w14:textId="77777777" w:rsidR="00AC5795" w:rsidRDefault="00AC5795" w:rsidP="00E071A0">
      <w:pPr>
        <w:spacing w:after="0"/>
        <w:rPr>
          <w:sz w:val="16"/>
          <w:szCs w:val="16"/>
        </w:rPr>
      </w:pPr>
    </w:p>
    <w:p w14:paraId="25DFE096" w14:textId="77777777" w:rsidR="00AC5795" w:rsidRDefault="00AC5795" w:rsidP="00E071A0">
      <w:pPr>
        <w:spacing w:after="0"/>
        <w:rPr>
          <w:sz w:val="16"/>
          <w:szCs w:val="16"/>
        </w:rPr>
      </w:pPr>
    </w:p>
    <w:p w14:paraId="552A30A0" w14:textId="77777777" w:rsidR="00AC5795" w:rsidRDefault="00AC5795" w:rsidP="00E071A0">
      <w:pPr>
        <w:spacing w:after="0"/>
        <w:rPr>
          <w:sz w:val="16"/>
          <w:szCs w:val="16"/>
        </w:rPr>
      </w:pPr>
    </w:p>
    <w:p w14:paraId="459EC7EF" w14:textId="77777777" w:rsidR="00AC5795" w:rsidRPr="00464157" w:rsidRDefault="00AC5795" w:rsidP="00E071A0">
      <w:pPr>
        <w:spacing w:after="0"/>
        <w:rPr>
          <w:sz w:val="16"/>
          <w:szCs w:val="16"/>
        </w:rPr>
      </w:pPr>
    </w:p>
    <w:p w14:paraId="04A0B329" w14:textId="77777777" w:rsidR="00E071A0" w:rsidRDefault="00E071A0" w:rsidP="00E071A0">
      <w:pPr>
        <w:pStyle w:val="Paragrafoelenco"/>
        <w:spacing w:after="0"/>
        <w:jc w:val="center"/>
        <w:rPr>
          <w:noProof/>
          <w:sz w:val="16"/>
          <w:szCs w:val="16"/>
        </w:rPr>
      </w:pPr>
      <w:r>
        <w:rPr>
          <w:noProof/>
        </w:rPr>
        <w:lastRenderedPageBreak/>
        <mc:AlternateContent>
          <mc:Choice Requires="wps">
            <w:drawing>
              <wp:anchor distT="0" distB="0" distL="114300" distR="114300" simplePos="0" relativeHeight="251659264" behindDoc="0" locked="0" layoutInCell="1" allowOverlap="1" wp14:anchorId="25B339F3" wp14:editId="67C2E8C8">
                <wp:simplePos x="0" y="0"/>
                <wp:positionH relativeFrom="margin">
                  <wp:align>left</wp:align>
                </wp:positionH>
                <wp:positionV relativeFrom="paragraph">
                  <wp:posOffset>-468</wp:posOffset>
                </wp:positionV>
                <wp:extent cx="2029767" cy="1828800"/>
                <wp:effectExtent l="0" t="0" r="0" b="0"/>
                <wp:wrapNone/>
                <wp:docPr id="4" name="Casella di testo 4"/>
                <wp:cNvGraphicFramePr/>
                <a:graphic xmlns:a="http://schemas.openxmlformats.org/drawingml/2006/main">
                  <a:graphicData uri="http://schemas.microsoft.com/office/word/2010/wordprocessingShape">
                    <wps:wsp>
                      <wps:cNvSpPr txBox="1"/>
                      <wps:spPr>
                        <a:xfrm>
                          <a:off x="0" y="0"/>
                          <a:ext cx="2029767" cy="1828800"/>
                        </a:xfrm>
                        <a:prstGeom prst="rect">
                          <a:avLst/>
                        </a:prstGeom>
                        <a:noFill/>
                        <a:ln>
                          <a:noFill/>
                        </a:ln>
                      </wps:spPr>
                      <wps:txbx>
                        <w:txbxContent>
                          <w:p w14:paraId="1D5846E9" w14:textId="77777777" w:rsidR="00E071A0" w:rsidRPr="00B743BD" w:rsidRDefault="00E071A0" w:rsidP="00E071A0">
                            <w:pPr>
                              <w:pStyle w:val="Paragrafoelenco"/>
                              <w:spacing w:after="0"/>
                              <w:jc w:val="center"/>
                              <w:rPr>
                                <w:b/>
                                <w:noProof/>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743BD">
                              <w:rPr>
                                <w:b/>
                                <w:noProof/>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 uscito: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5B339F3" id="_x0000_t202" coordsize="21600,21600" o:spt="202" path="m,l,21600r21600,l21600,xe">
                <v:stroke joinstyle="miter"/>
                <v:path gradientshapeok="t" o:connecttype="rect"/>
              </v:shapetype>
              <v:shape id="Casella di testo 4" o:spid="_x0000_s1026" type="#_x0000_t202" style="position:absolute;left:0;text-align:left;margin-left:0;margin-top:-.05pt;width:159.8pt;height:2in;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" filled="f" stroked="f">
                <v:textbox style="mso-fit-shape-to-text:t">
                  <w:txbxContent>
                    <w:p w14:paraId="1D5846E9" w14:textId="77777777" w:rsidR="00E071A0" w:rsidRPr="00B743BD" w:rsidRDefault="00E071A0" w:rsidP="00E071A0">
                      <w:pPr>
                        <w:pStyle w:val="Paragrafoelenco"/>
                        <w:spacing w:after="0"/>
                        <w:jc w:val="center"/>
                        <w:rPr>
                          <w:b/>
                          <w:noProof/>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743BD">
                        <w:rPr>
                          <w:b/>
                          <w:noProof/>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 uscito:</w:t>
                      </w:r>
                    </w:p>
                  </w:txbxContent>
                </v:textbox>
                <w10:wrap anchorx="margin"/>
              </v:shape>
            </w:pict>
          </mc:Fallback>
        </mc:AlternateContent>
      </w:r>
    </w:p>
    <w:p w14:paraId="2405EEA8" w14:textId="77777777" w:rsidR="00E071A0" w:rsidRDefault="00E071A0" w:rsidP="00E071A0">
      <w:pPr>
        <w:pStyle w:val="Paragrafoelenco"/>
        <w:spacing w:after="0"/>
        <w:jc w:val="center"/>
        <w:rPr>
          <w:sz w:val="16"/>
          <w:szCs w:val="16"/>
        </w:rPr>
      </w:pPr>
      <w:r>
        <w:rPr>
          <w:noProof/>
          <w:sz w:val="16"/>
          <w:szCs w:val="16"/>
        </w:rPr>
        <w:drawing>
          <wp:inline distT="0" distB="0" distL="0" distR="0" wp14:anchorId="3B6921C4" wp14:editId="4B411F43">
            <wp:extent cx="2178000" cy="3006000"/>
            <wp:effectExtent l="0" t="0" r="0" b="444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3">
                      <a:extLst>
                        <a:ext uri="{28A0092B-C50C-407E-A947-70E740481C1C}">
                          <a14:useLocalDpi xmlns:a14="http://schemas.microsoft.com/office/drawing/2010/main" val="0"/>
                        </a:ext>
                      </a:extLst>
                    </a:blip>
                    <a:stretch>
                      <a:fillRect/>
                    </a:stretch>
                  </pic:blipFill>
                  <pic:spPr>
                    <a:xfrm>
                      <a:off x="0" y="0"/>
                      <a:ext cx="2178000" cy="3006000"/>
                    </a:xfrm>
                    <a:prstGeom prst="rect">
                      <a:avLst/>
                    </a:prstGeom>
                  </pic:spPr>
                </pic:pic>
              </a:graphicData>
            </a:graphic>
          </wp:inline>
        </w:drawing>
      </w:r>
    </w:p>
    <w:p w14:paraId="12A176CE" w14:textId="77777777" w:rsidR="00E071A0" w:rsidRPr="00D53CF3" w:rsidRDefault="00E071A0" w:rsidP="00E071A0">
      <w:pPr>
        <w:pStyle w:val="Paragrafoelenco"/>
        <w:spacing w:after="0"/>
        <w:jc w:val="center"/>
        <w:rPr>
          <w:i/>
          <w:iCs/>
          <w:sz w:val="16"/>
          <w:szCs w:val="16"/>
        </w:rPr>
      </w:pPr>
      <w:r w:rsidRPr="00D53CF3">
        <w:rPr>
          <w:i/>
          <w:iCs/>
          <w:sz w:val="16"/>
          <w:szCs w:val="16"/>
        </w:rPr>
        <w:t>info@ibneditore.it</w:t>
      </w:r>
    </w:p>
    <w:p w14:paraId="57577328" w14:textId="77777777" w:rsidR="00E071A0" w:rsidRDefault="00E071A0" w:rsidP="00E071A0">
      <w:pPr>
        <w:pStyle w:val="Paragrafoelenco"/>
        <w:spacing w:after="0"/>
        <w:rPr>
          <w:sz w:val="16"/>
          <w:szCs w:val="16"/>
        </w:rPr>
      </w:pPr>
    </w:p>
    <w:p w14:paraId="50E9B9D2" w14:textId="77777777" w:rsidR="00E071A0" w:rsidRDefault="00E071A0" w:rsidP="00E071A0">
      <w:pPr>
        <w:pStyle w:val="Paragrafoelenco"/>
        <w:spacing w:after="0"/>
        <w:rPr>
          <w:sz w:val="16"/>
          <w:szCs w:val="16"/>
        </w:rPr>
      </w:pPr>
    </w:p>
    <w:p w14:paraId="34F66DF5" w14:textId="77777777" w:rsidR="00C119DB" w:rsidRDefault="00C119DB" w:rsidP="00E071A0">
      <w:pPr>
        <w:pStyle w:val="Paragrafoelenco"/>
        <w:spacing w:after="0"/>
        <w:rPr>
          <w:sz w:val="16"/>
          <w:szCs w:val="16"/>
        </w:rPr>
      </w:pPr>
    </w:p>
    <w:p w14:paraId="2C978B42" w14:textId="77777777" w:rsidR="00C119DB" w:rsidRDefault="00C119DB" w:rsidP="00E071A0">
      <w:pPr>
        <w:pStyle w:val="Paragrafoelenco"/>
        <w:spacing w:after="0"/>
        <w:rPr>
          <w:sz w:val="16"/>
          <w:szCs w:val="16"/>
        </w:rPr>
      </w:pPr>
    </w:p>
    <w:p w14:paraId="68691A04" w14:textId="77777777" w:rsidR="00C119DB" w:rsidRDefault="00C119DB" w:rsidP="00E071A0">
      <w:pPr>
        <w:pStyle w:val="Paragrafoelenco"/>
        <w:spacing w:after="0"/>
        <w:rPr>
          <w:sz w:val="16"/>
          <w:szCs w:val="16"/>
        </w:rPr>
      </w:pPr>
    </w:p>
    <w:p w14:paraId="680BF12C" w14:textId="77777777" w:rsidR="00C119DB" w:rsidRDefault="00C119DB" w:rsidP="00E071A0">
      <w:pPr>
        <w:pStyle w:val="Paragrafoelenco"/>
        <w:spacing w:after="0"/>
        <w:rPr>
          <w:sz w:val="16"/>
          <w:szCs w:val="16"/>
        </w:rPr>
      </w:pPr>
    </w:p>
    <w:p w14:paraId="2994052F" w14:textId="77777777" w:rsidR="00C119DB" w:rsidRDefault="00C119DB" w:rsidP="00E071A0">
      <w:pPr>
        <w:pStyle w:val="Paragrafoelenco"/>
        <w:spacing w:after="0"/>
        <w:rPr>
          <w:sz w:val="16"/>
          <w:szCs w:val="16"/>
        </w:rPr>
      </w:pPr>
    </w:p>
    <w:p w14:paraId="08621AC7" w14:textId="77777777" w:rsidR="00C119DB" w:rsidRDefault="00C119DB" w:rsidP="00E071A0">
      <w:pPr>
        <w:pStyle w:val="Paragrafoelenco"/>
        <w:spacing w:after="0"/>
        <w:rPr>
          <w:sz w:val="16"/>
          <w:szCs w:val="16"/>
        </w:rPr>
      </w:pPr>
    </w:p>
    <w:p w14:paraId="302322CB" w14:textId="77777777" w:rsidR="00C119DB" w:rsidRDefault="00C119DB" w:rsidP="00E071A0">
      <w:pPr>
        <w:pStyle w:val="Paragrafoelenco"/>
        <w:spacing w:after="0"/>
        <w:rPr>
          <w:sz w:val="16"/>
          <w:szCs w:val="16"/>
        </w:rPr>
      </w:pPr>
    </w:p>
    <w:p w14:paraId="7E47E07D" w14:textId="77777777" w:rsidR="00C119DB" w:rsidRDefault="00C119DB" w:rsidP="00E071A0">
      <w:pPr>
        <w:pStyle w:val="Paragrafoelenco"/>
        <w:spacing w:after="0"/>
        <w:rPr>
          <w:sz w:val="16"/>
          <w:szCs w:val="16"/>
        </w:rPr>
      </w:pPr>
    </w:p>
    <w:p w14:paraId="046F8E70" w14:textId="77777777" w:rsidR="00C119DB" w:rsidRDefault="00C119DB" w:rsidP="00E071A0">
      <w:pPr>
        <w:pStyle w:val="Paragrafoelenco"/>
        <w:spacing w:after="0"/>
        <w:rPr>
          <w:sz w:val="16"/>
          <w:szCs w:val="16"/>
        </w:rPr>
      </w:pPr>
    </w:p>
    <w:p w14:paraId="1F473F4D" w14:textId="77777777" w:rsidR="00C119DB" w:rsidRDefault="00C119DB" w:rsidP="00E071A0">
      <w:pPr>
        <w:pStyle w:val="Paragrafoelenco"/>
        <w:spacing w:after="0"/>
        <w:rPr>
          <w:sz w:val="16"/>
          <w:szCs w:val="16"/>
        </w:rPr>
      </w:pPr>
    </w:p>
    <w:p w14:paraId="392AE262" w14:textId="77777777" w:rsidR="00C119DB" w:rsidRDefault="00C119DB" w:rsidP="00E071A0">
      <w:pPr>
        <w:pStyle w:val="Paragrafoelenco"/>
        <w:spacing w:after="0"/>
        <w:rPr>
          <w:sz w:val="16"/>
          <w:szCs w:val="16"/>
        </w:rPr>
      </w:pPr>
    </w:p>
    <w:p w14:paraId="3539095E" w14:textId="77777777" w:rsidR="00C119DB" w:rsidRDefault="00C119DB" w:rsidP="00E071A0">
      <w:pPr>
        <w:pStyle w:val="Paragrafoelenco"/>
        <w:spacing w:after="0"/>
        <w:rPr>
          <w:sz w:val="16"/>
          <w:szCs w:val="16"/>
        </w:rPr>
      </w:pPr>
    </w:p>
    <w:p w14:paraId="10417B51" w14:textId="77777777" w:rsidR="00C119DB" w:rsidRDefault="00C119DB" w:rsidP="00E071A0">
      <w:pPr>
        <w:pStyle w:val="Paragrafoelenco"/>
        <w:spacing w:after="0"/>
        <w:rPr>
          <w:sz w:val="16"/>
          <w:szCs w:val="16"/>
        </w:rPr>
      </w:pPr>
    </w:p>
    <w:p w14:paraId="318A8388" w14:textId="77777777" w:rsidR="00E071A0" w:rsidRDefault="00E071A0" w:rsidP="00E071A0">
      <w:pPr>
        <w:pStyle w:val="Paragrafoelenco"/>
        <w:spacing w:after="0"/>
        <w:rPr>
          <w:sz w:val="16"/>
          <w:szCs w:val="16"/>
        </w:rPr>
      </w:pPr>
    </w:p>
    <w:p w14:paraId="29E4D4DF" w14:textId="77777777" w:rsidR="00E071A0" w:rsidRDefault="00E071A0" w:rsidP="00E071A0">
      <w:pPr>
        <w:pStyle w:val="Paragrafoelenco"/>
        <w:spacing w:after="0"/>
        <w:rPr>
          <w:sz w:val="16"/>
          <w:szCs w:val="16"/>
        </w:rPr>
      </w:pPr>
    </w:p>
    <w:p w14:paraId="4AC72808" w14:textId="77777777" w:rsidR="00E071A0" w:rsidRPr="00F854AD" w:rsidRDefault="00E071A0" w:rsidP="00E071A0">
      <w:pPr>
        <w:pBdr>
          <w:top w:val="single" w:sz="4" w:space="1" w:color="auto"/>
          <w:left w:val="single" w:sz="4" w:space="4" w:color="auto"/>
          <w:bottom w:val="single" w:sz="4" w:space="1" w:color="auto"/>
          <w:right w:val="single" w:sz="4" w:space="4" w:color="auto"/>
        </w:pBdr>
        <w:rPr>
          <w:color w:val="C00000"/>
          <w:sz w:val="28"/>
          <w:szCs w:val="28"/>
        </w:rPr>
      </w:pPr>
      <w:r w:rsidRPr="00F854AD">
        <w:rPr>
          <w:color w:val="C00000"/>
          <w:sz w:val="28"/>
          <w:szCs w:val="28"/>
        </w:rPr>
        <w:t>Se avete amici</w:t>
      </w:r>
      <w:r>
        <w:rPr>
          <w:color w:val="C00000"/>
          <w:sz w:val="28"/>
          <w:szCs w:val="28"/>
        </w:rPr>
        <w:t>,</w:t>
      </w:r>
      <w:r w:rsidRPr="00F854AD">
        <w:rPr>
          <w:color w:val="C00000"/>
          <w:sz w:val="28"/>
          <w:szCs w:val="28"/>
        </w:rPr>
        <w:t xml:space="preserve"> conoscenti interessati a ricevere le nostre </w:t>
      </w:r>
      <w:r>
        <w:rPr>
          <w:color w:val="C00000"/>
          <w:sz w:val="28"/>
          <w:szCs w:val="28"/>
        </w:rPr>
        <w:t>N</w:t>
      </w:r>
      <w:r w:rsidRPr="00F854AD">
        <w:rPr>
          <w:color w:val="C00000"/>
          <w:sz w:val="28"/>
          <w:szCs w:val="28"/>
        </w:rPr>
        <w:t>ewsletter, fate</w:t>
      </w:r>
      <w:r>
        <w:rPr>
          <w:color w:val="C00000"/>
          <w:sz w:val="28"/>
          <w:szCs w:val="28"/>
        </w:rPr>
        <w:t>l</w:t>
      </w:r>
      <w:r w:rsidRPr="00F854AD">
        <w:rPr>
          <w:color w:val="C00000"/>
          <w:sz w:val="28"/>
          <w:szCs w:val="28"/>
        </w:rPr>
        <w:t xml:space="preserve">i contattare al </w:t>
      </w:r>
      <w:r>
        <w:rPr>
          <w:color w:val="C00000"/>
          <w:sz w:val="28"/>
          <w:szCs w:val="28"/>
        </w:rPr>
        <w:t>seguente</w:t>
      </w:r>
      <w:r w:rsidRPr="00F854AD">
        <w:rPr>
          <w:color w:val="C00000"/>
          <w:sz w:val="28"/>
          <w:szCs w:val="28"/>
        </w:rPr>
        <w:t xml:space="preserve"> indirizzo </w:t>
      </w:r>
      <w:proofErr w:type="gramStart"/>
      <w:r w:rsidRPr="00F854AD">
        <w:rPr>
          <w:color w:val="C00000"/>
          <w:sz w:val="28"/>
          <w:szCs w:val="28"/>
        </w:rPr>
        <w:t>email :</w:t>
      </w:r>
      <w:proofErr w:type="gramEnd"/>
      <w:r w:rsidRPr="00F854AD">
        <w:rPr>
          <w:color w:val="C00000"/>
          <w:sz w:val="28"/>
          <w:szCs w:val="28"/>
        </w:rPr>
        <w:t xml:space="preserve"> </w:t>
      </w:r>
    </w:p>
    <w:p w14:paraId="55579D83" w14:textId="77777777" w:rsidR="00E071A0" w:rsidRPr="00F854AD" w:rsidRDefault="00E071A0" w:rsidP="00E071A0">
      <w:pPr>
        <w:pBdr>
          <w:top w:val="single" w:sz="4" w:space="1" w:color="auto"/>
          <w:left w:val="single" w:sz="4" w:space="4" w:color="auto"/>
          <w:bottom w:val="single" w:sz="4" w:space="1" w:color="auto"/>
          <w:right w:val="single" w:sz="4" w:space="4" w:color="auto"/>
        </w:pBdr>
        <w:rPr>
          <w:color w:val="C00000"/>
          <w:sz w:val="28"/>
          <w:szCs w:val="28"/>
        </w:rPr>
      </w:pPr>
      <w:r>
        <w:t xml:space="preserve">                                                          </w:t>
      </w:r>
      <w:hyperlink r:id="rId14" w:history="1">
        <w:r w:rsidRPr="00AC4531">
          <w:rPr>
            <w:rStyle w:val="Collegamentoipertestuale"/>
            <w:sz w:val="28"/>
            <w:szCs w:val="28"/>
          </w:rPr>
          <w:t>antonio.bordoni@yahoo.it</w:t>
        </w:r>
      </w:hyperlink>
    </w:p>
    <w:p w14:paraId="1D4285EE" w14:textId="77777777" w:rsidR="00E071A0" w:rsidRDefault="00E071A0" w:rsidP="00E071A0">
      <w:pPr>
        <w:pBdr>
          <w:top w:val="single" w:sz="4" w:space="1" w:color="auto"/>
          <w:left w:val="single" w:sz="4" w:space="4" w:color="auto"/>
          <w:bottom w:val="single" w:sz="4" w:space="1" w:color="auto"/>
          <w:right w:val="single" w:sz="4" w:space="4" w:color="auto"/>
        </w:pBdr>
        <w:rPr>
          <w:color w:val="C00000"/>
          <w:sz w:val="28"/>
          <w:szCs w:val="28"/>
        </w:rPr>
      </w:pPr>
      <w:proofErr w:type="gramStart"/>
      <w:r w:rsidRPr="00F854AD">
        <w:rPr>
          <w:color w:val="C00000"/>
          <w:sz w:val="28"/>
          <w:szCs w:val="28"/>
        </w:rPr>
        <w:t>e  provvederemo</w:t>
      </w:r>
      <w:proofErr w:type="gramEnd"/>
      <w:r w:rsidRPr="00F854AD">
        <w:rPr>
          <w:color w:val="C00000"/>
          <w:sz w:val="28"/>
          <w:szCs w:val="28"/>
        </w:rPr>
        <w:t xml:space="preserve"> ad inserirli nella nostra mailing list. </w:t>
      </w:r>
      <w:r w:rsidRPr="00A91A7B">
        <w:rPr>
          <w:b/>
          <w:bCs/>
          <w:color w:val="C00000"/>
          <w:sz w:val="28"/>
          <w:szCs w:val="28"/>
        </w:rPr>
        <w:t>Il servizio è gratuito.</w:t>
      </w:r>
      <w:r w:rsidRPr="00F854AD">
        <w:rPr>
          <w:color w:val="C00000"/>
          <w:sz w:val="28"/>
          <w:szCs w:val="28"/>
        </w:rPr>
        <w:t xml:space="preserve"> Specificare se si è interessati a</w:t>
      </w:r>
      <w:r>
        <w:rPr>
          <w:color w:val="C00000"/>
          <w:sz w:val="28"/>
          <w:szCs w:val="28"/>
        </w:rPr>
        <w:t>l settore</w:t>
      </w:r>
      <w:r w:rsidRPr="00F854AD">
        <w:rPr>
          <w:color w:val="C00000"/>
          <w:sz w:val="28"/>
          <w:szCs w:val="28"/>
        </w:rPr>
        <w:t xml:space="preserve"> m</w:t>
      </w:r>
      <w:r>
        <w:rPr>
          <w:color w:val="C00000"/>
          <w:sz w:val="28"/>
          <w:szCs w:val="28"/>
        </w:rPr>
        <w:t>a</w:t>
      </w:r>
      <w:r w:rsidRPr="00F854AD">
        <w:rPr>
          <w:color w:val="C00000"/>
          <w:sz w:val="28"/>
          <w:szCs w:val="28"/>
        </w:rPr>
        <w:t>rketing</w:t>
      </w:r>
      <w:r>
        <w:rPr>
          <w:color w:val="C00000"/>
          <w:sz w:val="28"/>
          <w:szCs w:val="28"/>
        </w:rPr>
        <w:t>/industria</w:t>
      </w:r>
      <w:r w:rsidRPr="00F854AD">
        <w:rPr>
          <w:color w:val="C00000"/>
          <w:sz w:val="28"/>
          <w:szCs w:val="28"/>
        </w:rPr>
        <w:t xml:space="preserve"> aviazione commerciale</w:t>
      </w:r>
      <w:r>
        <w:rPr>
          <w:color w:val="C00000"/>
          <w:sz w:val="28"/>
          <w:szCs w:val="28"/>
        </w:rPr>
        <w:t>:</w:t>
      </w:r>
      <w:r w:rsidRPr="00F854AD">
        <w:rPr>
          <w:color w:val="C00000"/>
          <w:sz w:val="28"/>
          <w:szCs w:val="28"/>
        </w:rPr>
        <w:t xml:space="preserve"> </w:t>
      </w:r>
      <w:hyperlink r:id="rId15" w:history="1">
        <w:r w:rsidRPr="00F854AD">
          <w:rPr>
            <w:rStyle w:val="Collegamentoipertestuale"/>
            <w:color w:val="C00000"/>
            <w:sz w:val="28"/>
            <w:szCs w:val="28"/>
          </w:rPr>
          <w:t>www.aviation-industry-news.com</w:t>
        </w:r>
      </w:hyperlink>
      <w:r w:rsidRPr="00F854AD">
        <w:rPr>
          <w:color w:val="C00000"/>
          <w:sz w:val="28"/>
          <w:szCs w:val="28"/>
        </w:rPr>
        <w:t xml:space="preserve"> </w:t>
      </w:r>
    </w:p>
    <w:p w14:paraId="1C18BF0C" w14:textId="77777777" w:rsidR="00E071A0" w:rsidRDefault="00E071A0" w:rsidP="00E071A0">
      <w:pPr>
        <w:pBdr>
          <w:top w:val="single" w:sz="4" w:space="1" w:color="auto"/>
          <w:left w:val="single" w:sz="4" w:space="4" w:color="auto"/>
          <w:bottom w:val="single" w:sz="4" w:space="1" w:color="auto"/>
          <w:right w:val="single" w:sz="4" w:space="4" w:color="auto"/>
        </w:pBdr>
        <w:rPr>
          <w:color w:val="C00000"/>
          <w:sz w:val="28"/>
          <w:szCs w:val="28"/>
        </w:rPr>
      </w:pPr>
      <w:r w:rsidRPr="00F854AD">
        <w:rPr>
          <w:color w:val="C00000"/>
          <w:sz w:val="28"/>
          <w:szCs w:val="28"/>
        </w:rPr>
        <w:t xml:space="preserve">o </w:t>
      </w:r>
      <w:r>
        <w:rPr>
          <w:color w:val="C00000"/>
          <w:sz w:val="28"/>
          <w:szCs w:val="28"/>
        </w:rPr>
        <w:t>a</w:t>
      </w:r>
      <w:r w:rsidRPr="00F854AD">
        <w:rPr>
          <w:color w:val="C00000"/>
          <w:sz w:val="28"/>
          <w:szCs w:val="28"/>
        </w:rPr>
        <w:t>lla sicurezza del volo</w:t>
      </w:r>
      <w:r>
        <w:rPr>
          <w:color w:val="C00000"/>
          <w:sz w:val="28"/>
          <w:szCs w:val="28"/>
        </w:rPr>
        <w:t>:</w:t>
      </w:r>
    </w:p>
    <w:p w14:paraId="7C66030D" w14:textId="77777777" w:rsidR="00E071A0" w:rsidRDefault="00000000" w:rsidP="00E071A0">
      <w:pPr>
        <w:pBdr>
          <w:top w:val="single" w:sz="4" w:space="1" w:color="auto"/>
          <w:left w:val="single" w:sz="4" w:space="4" w:color="auto"/>
          <w:bottom w:val="single" w:sz="4" w:space="1" w:color="auto"/>
          <w:right w:val="single" w:sz="4" w:space="4" w:color="auto"/>
        </w:pBdr>
        <w:rPr>
          <w:color w:val="C00000"/>
          <w:sz w:val="28"/>
          <w:szCs w:val="28"/>
        </w:rPr>
      </w:pPr>
      <w:hyperlink r:id="rId16" w:history="1">
        <w:r w:rsidR="00E071A0" w:rsidRPr="00C5415A">
          <w:rPr>
            <w:rStyle w:val="Collegamentoipertestuale"/>
            <w:sz w:val="28"/>
            <w:szCs w:val="28"/>
          </w:rPr>
          <w:t>www.air-accidents.com</w:t>
        </w:r>
      </w:hyperlink>
    </w:p>
    <w:p w14:paraId="31D85022" w14:textId="3D1A4071" w:rsidR="00E071A0" w:rsidRPr="00A63544" w:rsidRDefault="00E071A0" w:rsidP="0074706C">
      <w:pPr>
        <w:pBdr>
          <w:top w:val="single" w:sz="4" w:space="1" w:color="auto"/>
          <w:left w:val="single" w:sz="4" w:space="4" w:color="auto"/>
          <w:bottom w:val="single" w:sz="4" w:space="1" w:color="auto"/>
          <w:right w:val="single" w:sz="4" w:space="4" w:color="auto"/>
        </w:pBdr>
        <w:rPr>
          <w:sz w:val="24"/>
          <w:szCs w:val="24"/>
        </w:rPr>
      </w:pPr>
      <w:proofErr w:type="gramStart"/>
      <w:r>
        <w:rPr>
          <w:color w:val="C00000"/>
          <w:sz w:val="28"/>
          <w:szCs w:val="28"/>
        </w:rPr>
        <w:t>E’</w:t>
      </w:r>
      <w:proofErr w:type="gramEnd"/>
      <w:r>
        <w:rPr>
          <w:color w:val="C00000"/>
          <w:sz w:val="28"/>
          <w:szCs w:val="28"/>
        </w:rPr>
        <w:t xml:space="preserve"> possibile richiedere l’inserimento a entrambi i servizi.</w:t>
      </w:r>
    </w:p>
    <w:sectPr w:rsidR="00E071A0" w:rsidRPr="00A635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45AD0"/>
    <w:multiLevelType w:val="hybridMultilevel"/>
    <w:tmpl w:val="09322E96"/>
    <w:lvl w:ilvl="0" w:tplc="395873C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1A85A30"/>
    <w:multiLevelType w:val="hybridMultilevel"/>
    <w:tmpl w:val="4046351A"/>
    <w:lvl w:ilvl="0" w:tplc="FB349AE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7975197"/>
    <w:multiLevelType w:val="hybridMultilevel"/>
    <w:tmpl w:val="DBD8B1BE"/>
    <w:lvl w:ilvl="0" w:tplc="1ADA904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18C373D"/>
    <w:multiLevelType w:val="hybridMultilevel"/>
    <w:tmpl w:val="73F01A0A"/>
    <w:lvl w:ilvl="0" w:tplc="4038207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0501BD5"/>
    <w:multiLevelType w:val="hybridMultilevel"/>
    <w:tmpl w:val="D1E61B08"/>
    <w:lvl w:ilvl="0" w:tplc="B0C05AC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C137310"/>
    <w:multiLevelType w:val="hybridMultilevel"/>
    <w:tmpl w:val="6C9AE058"/>
    <w:lvl w:ilvl="0" w:tplc="B63242C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5145058">
    <w:abstractNumId w:val="5"/>
  </w:num>
  <w:num w:numId="2" w16cid:durableId="486942366">
    <w:abstractNumId w:val="0"/>
  </w:num>
  <w:num w:numId="3" w16cid:durableId="1728647720">
    <w:abstractNumId w:val="2"/>
  </w:num>
  <w:num w:numId="4" w16cid:durableId="546650760">
    <w:abstractNumId w:val="3"/>
  </w:num>
  <w:num w:numId="5" w16cid:durableId="1577394335">
    <w:abstractNumId w:val="4"/>
  </w:num>
  <w:num w:numId="6" w16cid:durableId="1495532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544"/>
    <w:rsid w:val="00016450"/>
    <w:rsid w:val="000461EC"/>
    <w:rsid w:val="00106842"/>
    <w:rsid w:val="00110748"/>
    <w:rsid w:val="0014244D"/>
    <w:rsid w:val="00144E39"/>
    <w:rsid w:val="001518BB"/>
    <w:rsid w:val="0016760D"/>
    <w:rsid w:val="00176E10"/>
    <w:rsid w:val="00176E75"/>
    <w:rsid w:val="001B35AB"/>
    <w:rsid w:val="001E4227"/>
    <w:rsid w:val="00255784"/>
    <w:rsid w:val="002B0F39"/>
    <w:rsid w:val="002B3496"/>
    <w:rsid w:val="002C4885"/>
    <w:rsid w:val="002E139A"/>
    <w:rsid w:val="002E2B0A"/>
    <w:rsid w:val="002F716A"/>
    <w:rsid w:val="00316C8A"/>
    <w:rsid w:val="0033304F"/>
    <w:rsid w:val="0034465C"/>
    <w:rsid w:val="0035543F"/>
    <w:rsid w:val="0039041B"/>
    <w:rsid w:val="003942D1"/>
    <w:rsid w:val="0039621B"/>
    <w:rsid w:val="003C3405"/>
    <w:rsid w:val="003C3994"/>
    <w:rsid w:val="003F6A39"/>
    <w:rsid w:val="0041428A"/>
    <w:rsid w:val="004305A7"/>
    <w:rsid w:val="00443CE6"/>
    <w:rsid w:val="00452774"/>
    <w:rsid w:val="004559B2"/>
    <w:rsid w:val="004561F5"/>
    <w:rsid w:val="00456597"/>
    <w:rsid w:val="00457879"/>
    <w:rsid w:val="00466143"/>
    <w:rsid w:val="004714B1"/>
    <w:rsid w:val="00497487"/>
    <w:rsid w:val="00535CB8"/>
    <w:rsid w:val="00545765"/>
    <w:rsid w:val="00561740"/>
    <w:rsid w:val="00592A6D"/>
    <w:rsid w:val="005A053C"/>
    <w:rsid w:val="005D07E0"/>
    <w:rsid w:val="005D14E1"/>
    <w:rsid w:val="005D35E7"/>
    <w:rsid w:val="005F677A"/>
    <w:rsid w:val="00633E74"/>
    <w:rsid w:val="00667FA1"/>
    <w:rsid w:val="00673891"/>
    <w:rsid w:val="00677769"/>
    <w:rsid w:val="00684AFE"/>
    <w:rsid w:val="006912F6"/>
    <w:rsid w:val="006B435A"/>
    <w:rsid w:val="006E6866"/>
    <w:rsid w:val="006E7AF0"/>
    <w:rsid w:val="006F7E42"/>
    <w:rsid w:val="00721234"/>
    <w:rsid w:val="007462FC"/>
    <w:rsid w:val="0074706C"/>
    <w:rsid w:val="007A5B44"/>
    <w:rsid w:val="007E5C9C"/>
    <w:rsid w:val="00806332"/>
    <w:rsid w:val="008153C4"/>
    <w:rsid w:val="00832498"/>
    <w:rsid w:val="008526C5"/>
    <w:rsid w:val="00853060"/>
    <w:rsid w:val="008949C8"/>
    <w:rsid w:val="008C0AEF"/>
    <w:rsid w:val="008C7671"/>
    <w:rsid w:val="00951E6D"/>
    <w:rsid w:val="00985C0F"/>
    <w:rsid w:val="009F0829"/>
    <w:rsid w:val="00A5040B"/>
    <w:rsid w:val="00A55167"/>
    <w:rsid w:val="00A63544"/>
    <w:rsid w:val="00A71F47"/>
    <w:rsid w:val="00A922E7"/>
    <w:rsid w:val="00A929C4"/>
    <w:rsid w:val="00AB06BB"/>
    <w:rsid w:val="00AC5795"/>
    <w:rsid w:val="00AF774A"/>
    <w:rsid w:val="00B1070D"/>
    <w:rsid w:val="00B23AC2"/>
    <w:rsid w:val="00B42EF4"/>
    <w:rsid w:val="00B4642A"/>
    <w:rsid w:val="00B60DCE"/>
    <w:rsid w:val="00B87CF4"/>
    <w:rsid w:val="00BA79F2"/>
    <w:rsid w:val="00BB3947"/>
    <w:rsid w:val="00BF337E"/>
    <w:rsid w:val="00C119DB"/>
    <w:rsid w:val="00C21EFD"/>
    <w:rsid w:val="00C92FC2"/>
    <w:rsid w:val="00CB3573"/>
    <w:rsid w:val="00CC400E"/>
    <w:rsid w:val="00CD14FC"/>
    <w:rsid w:val="00CD6E4D"/>
    <w:rsid w:val="00CE1E49"/>
    <w:rsid w:val="00CE55A4"/>
    <w:rsid w:val="00CE690E"/>
    <w:rsid w:val="00D00887"/>
    <w:rsid w:val="00D01C67"/>
    <w:rsid w:val="00D10CD9"/>
    <w:rsid w:val="00D42FC5"/>
    <w:rsid w:val="00D468B3"/>
    <w:rsid w:val="00D4726C"/>
    <w:rsid w:val="00D5670B"/>
    <w:rsid w:val="00D674B3"/>
    <w:rsid w:val="00D83A17"/>
    <w:rsid w:val="00D86C7D"/>
    <w:rsid w:val="00D87182"/>
    <w:rsid w:val="00D90248"/>
    <w:rsid w:val="00DE7DF3"/>
    <w:rsid w:val="00E071A0"/>
    <w:rsid w:val="00E07C35"/>
    <w:rsid w:val="00E13F33"/>
    <w:rsid w:val="00E33726"/>
    <w:rsid w:val="00E437C1"/>
    <w:rsid w:val="00E678F7"/>
    <w:rsid w:val="00E71819"/>
    <w:rsid w:val="00E77B4E"/>
    <w:rsid w:val="00E825E2"/>
    <w:rsid w:val="00EF2A8F"/>
    <w:rsid w:val="00F0237F"/>
    <w:rsid w:val="00F50933"/>
    <w:rsid w:val="00F51153"/>
    <w:rsid w:val="00F6280E"/>
    <w:rsid w:val="00F6499F"/>
    <w:rsid w:val="00F73983"/>
    <w:rsid w:val="00F758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EC47C"/>
  <w15:chartTrackingRefBased/>
  <w15:docId w15:val="{6B26961B-36C1-447B-97C0-CCB924067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071A0"/>
    <w:rPr>
      <w:color w:val="0000FF"/>
      <w:u w:val="single"/>
    </w:rPr>
  </w:style>
  <w:style w:type="paragraph" w:styleId="Paragrafoelenco">
    <w:name w:val="List Paragraph"/>
    <w:basedOn w:val="Normale"/>
    <w:uiPriority w:val="34"/>
    <w:qFormat/>
    <w:rsid w:val="00E071A0"/>
    <w:pPr>
      <w:spacing w:after="200" w:line="276" w:lineRule="auto"/>
      <w:ind w:left="720"/>
      <w:contextualSpacing/>
    </w:pPr>
  </w:style>
  <w:style w:type="paragraph" w:styleId="NormaleWeb">
    <w:name w:val="Normal (Web)"/>
    <w:basedOn w:val="Normale"/>
    <w:uiPriority w:val="99"/>
    <w:semiHidden/>
    <w:unhideWhenUsed/>
    <w:rsid w:val="0054576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5457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Principe_reggente" TargetMode="External"/><Relationship Id="rId13" Type="http://schemas.openxmlformats.org/officeDocument/2006/relationships/image" Target="media/image4.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t.wikipedia.org/wiki/Sovrani_che_hanno_regnato_pi%C3%B9_a_lungo" TargetMode="Externa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ir-accidents.com" TargetMode="External"/><Relationship Id="rId1" Type="http://schemas.openxmlformats.org/officeDocument/2006/relationships/numbering" Target="numbering.xml"/><Relationship Id="rId6" Type="http://schemas.openxmlformats.org/officeDocument/2006/relationships/hyperlink" Target="https://it.wikipedia.org/wiki/Impero_Egizio" TargetMode="External"/><Relationship Id="rId11" Type="http://schemas.openxmlformats.org/officeDocument/2006/relationships/image" Target="media/image2.jpeg"/><Relationship Id="rId5" Type="http://schemas.openxmlformats.org/officeDocument/2006/relationships/image" Target="media/image1.jpeg"/><Relationship Id="rId15" Type="http://schemas.openxmlformats.org/officeDocument/2006/relationships/hyperlink" Target="http://www.aviation-industry-news.com" TargetMode="External"/><Relationship Id="rId10" Type="http://schemas.openxmlformats.org/officeDocument/2006/relationships/hyperlink" Target="https://it.wikipedia.org/wiki/Vittoria_del_Regno_Unito" TargetMode="External"/><Relationship Id="rId4" Type="http://schemas.openxmlformats.org/officeDocument/2006/relationships/webSettings" Target="webSettings.xml"/><Relationship Id="rId9" Type="http://schemas.openxmlformats.org/officeDocument/2006/relationships/hyperlink" Target="https://it.wikipedia.org/wiki/Kenneth_Kitchen" TargetMode="External"/><Relationship Id="rId14" Type="http://schemas.openxmlformats.org/officeDocument/2006/relationships/hyperlink" Target="mailto:antonio.bordoni@yaho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815</Words>
  <Characters>4650</Characters>
  <Application>Microsoft Office Word</Application>
  <DocSecurity>0</DocSecurity>
  <Lines>38</Lines>
  <Paragraphs>10</Paragraphs>
  <ScaleCrop>false</ScaleCrop>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Luca Bordoni</cp:lastModifiedBy>
  <cp:revision>11</cp:revision>
  <dcterms:created xsi:type="dcterms:W3CDTF">2023-04-03T16:54:00Z</dcterms:created>
  <dcterms:modified xsi:type="dcterms:W3CDTF">2023-04-04T09:53:00Z</dcterms:modified>
</cp:coreProperties>
</file>