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2A3F" w14:textId="384E9F59" w:rsidR="00F20411" w:rsidRDefault="004A35F1">
      <w:r>
        <w:rPr>
          <w:noProof/>
        </w:rPr>
        <w:drawing>
          <wp:inline distT="0" distB="0" distL="0" distR="0" wp14:anchorId="3B43F5CB" wp14:editId="64BBCCF2">
            <wp:extent cx="1213200" cy="230400"/>
            <wp:effectExtent l="0" t="0" r="6350" b="0"/>
            <wp:docPr id="55160979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609793" name="Immagine 5516097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3200" cy="2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669E0" w14:textId="7BBB8A76" w:rsidR="0038406B" w:rsidRPr="00AC1DEA" w:rsidRDefault="004A35F1" w:rsidP="00B94256">
      <w:pPr>
        <w:ind w:left="1416" w:firstLine="708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 xml:space="preserve">   </w:t>
      </w:r>
      <w:r w:rsidR="00B94256">
        <w:rPr>
          <w:b/>
          <w:bCs/>
          <w:color w:val="EE0000"/>
          <w:sz w:val="28"/>
          <w:szCs w:val="28"/>
        </w:rPr>
        <w:t xml:space="preserve"> </w:t>
      </w:r>
      <w:r>
        <w:rPr>
          <w:b/>
          <w:bCs/>
          <w:color w:val="EE0000"/>
          <w:sz w:val="28"/>
          <w:szCs w:val="28"/>
        </w:rPr>
        <w:t xml:space="preserve">  </w:t>
      </w:r>
      <w:r w:rsidR="00B94256">
        <w:rPr>
          <w:b/>
          <w:bCs/>
          <w:color w:val="EE0000"/>
          <w:sz w:val="28"/>
          <w:szCs w:val="28"/>
        </w:rPr>
        <w:t xml:space="preserve"> </w:t>
      </w:r>
      <w:r w:rsidR="0038406B" w:rsidRPr="00AC1DEA">
        <w:rPr>
          <w:b/>
          <w:bCs/>
          <w:color w:val="EE0000"/>
          <w:sz w:val="28"/>
          <w:szCs w:val="28"/>
        </w:rPr>
        <w:t>TASSE DEL CIELO A CONFRONTO</w:t>
      </w:r>
    </w:p>
    <w:p w14:paraId="7936CA84" w14:textId="77777777" w:rsidR="0038406B" w:rsidRDefault="0038406B" w:rsidP="0038406B"/>
    <w:p w14:paraId="25AA56B2" w14:textId="6FAA50CE" w:rsidR="0038406B" w:rsidRDefault="0038406B" w:rsidP="0038406B">
      <w:r>
        <w:t xml:space="preserve">Alla ripresa dell’aviazione commerciale avvenuta negli anni successivi al termine del secondo conflitto mondiale, le compagnie aeree erano chiamate a pagare le tasse aeroportuali per ogni scalo da loro toccato. Erano i cosiddetti </w:t>
      </w:r>
      <w:r w:rsidRPr="0038406B">
        <w:rPr>
          <w:i/>
          <w:iCs/>
        </w:rPr>
        <w:t>diritti di approdo e partenza</w:t>
      </w:r>
      <w:r>
        <w:t xml:space="preserve">. In quegli anni l’assistenza al volo era assicurata da organismi e personale militare. Ma con l’avanzare degli anni e la inarrestabile diffusione del traffico aereo ogni nazione si vide costretta ad implementare anche le tasse per l’assistenza al volo (tasse di rotta) e contemporaneamente si provvide a creare aziende specifiche </w:t>
      </w:r>
      <w:r w:rsidR="005F09C1">
        <w:t>con</w:t>
      </w:r>
      <w:r>
        <w:t xml:space="preserve"> personale </w:t>
      </w:r>
      <w:r w:rsidR="005F09C1">
        <w:t>civile in sostituzione di</w:t>
      </w:r>
      <w:r w:rsidR="008A175D">
        <w:t xml:space="preserve"> quello</w:t>
      </w:r>
      <w:r>
        <w:t xml:space="preserve"> militare, erano nati i </w:t>
      </w:r>
      <w:r w:rsidR="00123A76">
        <w:t>cosiddetti</w:t>
      </w:r>
      <w:r>
        <w:t xml:space="preserve"> </w:t>
      </w:r>
      <w:r w:rsidRPr="008A175D">
        <w:rPr>
          <w:i/>
          <w:iCs/>
        </w:rPr>
        <w:t>uomini radar.</w:t>
      </w:r>
      <w:r>
        <w:t xml:space="preserve"> </w:t>
      </w:r>
    </w:p>
    <w:p w14:paraId="7458342E" w14:textId="14DBBBA9" w:rsidR="008A175D" w:rsidRPr="00AC1DEA" w:rsidRDefault="008A175D" w:rsidP="0038406B">
      <w:pPr>
        <w:rPr>
          <w:i/>
          <w:iCs/>
        </w:rPr>
      </w:pPr>
      <w:r>
        <w:t xml:space="preserve">L’argomento è poco noto ma comunque è bene che l’utente del mezzo aereo sappia che la compagnia </w:t>
      </w:r>
      <w:r w:rsidR="00FF315F">
        <w:t>con la quale volerà</w:t>
      </w:r>
      <w:r>
        <w:t xml:space="preserve">, in aggiunta alle ben note “tasse aeroportuali” che vengono a lui addebitate e che la compagnia dovrà rigirare ai gestori aeroportuali, è tenuta a versare una tassa di navigazione </w:t>
      </w:r>
      <w:r w:rsidRPr="008A175D">
        <w:rPr>
          <w:u w:val="single"/>
        </w:rPr>
        <w:t>per ogni paese che il suo volo attraverserà.</w:t>
      </w:r>
      <w:r>
        <w:t xml:space="preserve"> </w:t>
      </w:r>
      <w:r w:rsidR="00FF315F">
        <w:t xml:space="preserve">Quest’ultima tassa è a completo carico del vettore. </w:t>
      </w:r>
      <w:r w:rsidR="005F09C1">
        <w:t>Evidenziamo</w:t>
      </w:r>
      <w:r>
        <w:t xml:space="preserve"> quest’ultimo concetto </w:t>
      </w:r>
      <w:r w:rsidR="00123A76">
        <w:t>affinché</w:t>
      </w:r>
      <w:r>
        <w:t xml:space="preserve"> </w:t>
      </w:r>
      <w:r w:rsidR="00FF315F">
        <w:t xml:space="preserve">esso </w:t>
      </w:r>
      <w:r>
        <w:t xml:space="preserve">sia ben chiaro: </w:t>
      </w:r>
      <w:r w:rsidR="005F09C1">
        <w:t>q</w:t>
      </w:r>
      <w:r w:rsidR="00FF315F">
        <w:t>ualsiasi volo la compagnia svolg</w:t>
      </w:r>
      <w:r>
        <w:t>a</w:t>
      </w:r>
      <w:r w:rsidR="005F09C1">
        <w:t>,</w:t>
      </w:r>
      <w:r w:rsidR="00FF315F">
        <w:t xml:space="preserve"> sia esso con 300 passeggeri a bordo come pure solo </w:t>
      </w:r>
      <w:proofErr w:type="gramStart"/>
      <w:r w:rsidR="00FF315F">
        <w:t xml:space="preserve">dieci, </w:t>
      </w:r>
      <w:r>
        <w:t xml:space="preserve"> la</w:t>
      </w:r>
      <w:proofErr w:type="gramEnd"/>
      <w:r>
        <w:t xml:space="preserve"> </w:t>
      </w:r>
      <w:proofErr w:type="gramStart"/>
      <w:r>
        <w:t>compagnia  deve</w:t>
      </w:r>
      <w:proofErr w:type="gramEnd"/>
      <w:r>
        <w:t xml:space="preserve"> versare una tassa per ogni Paese che </w:t>
      </w:r>
      <w:r w:rsidR="00FF315F">
        <w:t>l’aereo</w:t>
      </w:r>
      <w:r>
        <w:t xml:space="preserve"> sorvolerà. In gergo tecnico queste </w:t>
      </w:r>
      <w:r w:rsidRPr="00FF315F">
        <w:rPr>
          <w:i/>
          <w:iCs/>
        </w:rPr>
        <w:t>fees</w:t>
      </w:r>
      <w:r>
        <w:t xml:space="preserve"> prendono la denominazione di </w:t>
      </w:r>
      <w:r w:rsidR="00AC1DEA" w:rsidRPr="00AC1DEA">
        <w:rPr>
          <w:i/>
          <w:iCs/>
        </w:rPr>
        <w:t xml:space="preserve">Charges for </w:t>
      </w:r>
      <w:r w:rsidRPr="00AC1DEA">
        <w:rPr>
          <w:i/>
          <w:iCs/>
        </w:rPr>
        <w:t xml:space="preserve">Air Navigation </w:t>
      </w:r>
      <w:r w:rsidR="00AC1DEA" w:rsidRPr="00AC1DEA">
        <w:rPr>
          <w:i/>
          <w:iCs/>
        </w:rPr>
        <w:t>Services</w:t>
      </w:r>
      <w:r w:rsidR="00AC1DEA">
        <w:rPr>
          <w:i/>
          <w:iCs/>
        </w:rPr>
        <w:t>.</w:t>
      </w:r>
    </w:p>
    <w:p w14:paraId="19E3A930" w14:textId="61174C8A" w:rsidR="0038406B" w:rsidRDefault="00AC1DEA" w:rsidP="0038406B">
      <w:r>
        <w:t>Il tema è trattato a livello internazionale; è</w:t>
      </w:r>
      <w:r w:rsidR="00FF315F">
        <w:t xml:space="preserve"> infatti</w:t>
      </w:r>
      <w:r>
        <w:t xml:space="preserve"> </w:t>
      </w:r>
      <w:r w:rsidR="0038406B">
        <w:t xml:space="preserve">un principio universalmente accettato che i servizi di navigazione aerea </w:t>
      </w:r>
      <w:r w:rsidR="00FF315F">
        <w:t>forniti dai singoli Paesi vengano retribuiti.  Trattandosi di un costo che andrà a incidere sulle operazioni</w:t>
      </w:r>
      <w:r w:rsidR="002C7928">
        <w:t xml:space="preserve"> e sul</w:t>
      </w:r>
      <w:r w:rsidR="005F09C1">
        <w:t xml:space="preserve">la formazione </w:t>
      </w:r>
      <w:r w:rsidR="002C7928">
        <w:t xml:space="preserve">della tariffa aerea venduta è essenziale che </w:t>
      </w:r>
      <w:r w:rsidR="005F09C1">
        <w:t>quanto viene addebitato</w:t>
      </w:r>
      <w:r w:rsidR="002C7928">
        <w:t xml:space="preserve"> venga calcolat</w:t>
      </w:r>
      <w:r w:rsidR="005F09C1">
        <w:t>o in maniera equa e</w:t>
      </w:r>
      <w:r w:rsidR="0038406B">
        <w:t xml:space="preserve"> correttamente.</w:t>
      </w:r>
    </w:p>
    <w:p w14:paraId="5CB771D2" w14:textId="3E629C0F" w:rsidR="003B6494" w:rsidRPr="002C7928" w:rsidRDefault="00AC1DEA" w:rsidP="003B6494">
      <w:pPr>
        <w:rPr>
          <w:rFonts w:cstheme="minorHAnsi"/>
          <w:color w:val="EE0000"/>
          <w:sz w:val="16"/>
          <w:szCs w:val="16"/>
        </w:rPr>
      </w:pPr>
      <w:r>
        <w:t>Prima di spiegare come</w:t>
      </w:r>
      <w:r w:rsidR="002C7928">
        <w:t xml:space="preserve"> q</w:t>
      </w:r>
      <w:r w:rsidR="005F09C1">
        <w:t>u</w:t>
      </w:r>
      <w:r w:rsidR="002C7928">
        <w:t>este tasse del cielo</w:t>
      </w:r>
      <w:r>
        <w:t xml:space="preserve"> vengono calcolat</w:t>
      </w:r>
      <w:r w:rsidR="002C7928">
        <w:t>e</w:t>
      </w:r>
      <w:r>
        <w:t xml:space="preserve"> e fare un paragone a livello internazionale, vorremmo ricordare quanto avvenuto sui cieli di Francia </w:t>
      </w:r>
      <w:r w:rsidR="003B6494">
        <w:t xml:space="preserve">il 5 marzo 1973 </w:t>
      </w:r>
      <w:r w:rsidR="00123A76">
        <w:t>allorché</w:t>
      </w:r>
      <w:r w:rsidR="003B6494">
        <w:t xml:space="preserve"> due velivol</w:t>
      </w:r>
      <w:r w:rsidR="002C7928">
        <w:t>i</w:t>
      </w:r>
      <w:r w:rsidR="003B6494">
        <w:t xml:space="preserve"> </w:t>
      </w:r>
      <w:r w:rsidR="002C7928">
        <w:t xml:space="preserve">di linea </w:t>
      </w:r>
      <w:r w:rsidR="003B6494">
        <w:t>si scontrarono in volo provocando la morte di tutti gli occupanti di uno dei due velivoli, mentre l</w:t>
      </w:r>
      <w:r w:rsidR="002C7928">
        <w:t>’</w:t>
      </w:r>
      <w:r w:rsidR="003B6494">
        <w:t>altro riuscì ad atterrare in emergenza</w:t>
      </w:r>
      <w:r w:rsidR="002C7928">
        <w:t xml:space="preserve"> </w:t>
      </w:r>
      <w:r w:rsidR="003B6494">
        <w:t xml:space="preserve">sullo </w:t>
      </w:r>
      <w:r w:rsidR="003B6494" w:rsidRPr="003B6494">
        <w:t xml:space="preserve">scalo di </w:t>
      </w:r>
      <w:r w:rsidR="003B6494" w:rsidRPr="003B6494">
        <w:rPr>
          <w:rFonts w:cstheme="minorHAnsi"/>
        </w:rPr>
        <w:t>Cognac – Châteaubernard.</w:t>
      </w:r>
      <w:r w:rsidR="002C7928">
        <w:rPr>
          <w:rFonts w:cstheme="minorHAnsi"/>
        </w:rPr>
        <w:t xml:space="preserve"> </w:t>
      </w:r>
      <w:r w:rsidR="002C7928" w:rsidRPr="002C7928">
        <w:rPr>
          <w:rFonts w:cstheme="minorHAnsi"/>
          <w:color w:val="EE0000"/>
          <w:sz w:val="16"/>
          <w:szCs w:val="16"/>
        </w:rPr>
        <w:t>(1)</w:t>
      </w:r>
    </w:p>
    <w:p w14:paraId="6E85DEF7" w14:textId="5A38B5AC" w:rsidR="002C7928" w:rsidRDefault="003B6494" w:rsidP="003B6494">
      <w:pPr>
        <w:rPr>
          <w:rFonts w:cstheme="minorHAnsi"/>
          <w:color w:val="000000" w:themeColor="text1"/>
        </w:rPr>
      </w:pPr>
      <w:r>
        <w:t>Ebbene quel giorno</w:t>
      </w:r>
      <w:r w:rsidR="002C7928">
        <w:rPr>
          <w:rFonts w:cstheme="minorHAnsi"/>
        </w:rPr>
        <w:t xml:space="preserve"> </w:t>
      </w:r>
      <w:r>
        <w:rPr>
          <w:rFonts w:cstheme="minorHAnsi"/>
        </w:rPr>
        <w:t>il controllo del traffico aereo sull’intera Francia era svolto da personale militare a causa di uno sciopero del personale civile</w:t>
      </w:r>
      <w:r w:rsidR="00DF525B">
        <w:rPr>
          <w:rFonts w:cstheme="minorHAnsi"/>
        </w:rPr>
        <w:t xml:space="preserve"> (già attivo in Francia)</w:t>
      </w:r>
      <w:r>
        <w:rPr>
          <w:rFonts w:cstheme="minorHAnsi"/>
        </w:rPr>
        <w:t xml:space="preserve"> dei controllori di volo</w:t>
      </w:r>
      <w:r w:rsidR="002C7928">
        <w:rPr>
          <w:rFonts w:cstheme="minorHAnsi"/>
        </w:rPr>
        <w:t>; il governo francese per evitare il blocco del traffico aereo che l’agitazione avrebbe provocato mise</w:t>
      </w:r>
      <w:r w:rsidR="00DF525B">
        <w:rPr>
          <w:rFonts w:cstheme="minorHAnsi"/>
        </w:rPr>
        <w:t xml:space="preserve"> in </w:t>
      </w:r>
      <w:proofErr w:type="gramStart"/>
      <w:r w:rsidR="00DF525B">
        <w:rPr>
          <w:rFonts w:cstheme="minorHAnsi"/>
        </w:rPr>
        <w:t>atto</w:t>
      </w:r>
      <w:r>
        <w:rPr>
          <w:rFonts w:cstheme="minorHAnsi"/>
        </w:rPr>
        <w:t xml:space="preserve">  </w:t>
      </w:r>
      <w:r w:rsidR="002C7928">
        <w:rPr>
          <w:rFonts w:cstheme="minorHAnsi"/>
        </w:rPr>
        <w:t>i</w:t>
      </w:r>
      <w:r w:rsidRPr="00A52D1F">
        <w:rPr>
          <w:rFonts w:cstheme="minorHAnsi"/>
        </w:rPr>
        <w:t>l</w:t>
      </w:r>
      <w:proofErr w:type="gramEnd"/>
      <w:r w:rsidRPr="00A52D1F">
        <w:rPr>
          <w:rFonts w:cstheme="minorHAnsi"/>
        </w:rPr>
        <w:t xml:space="preserve"> </w:t>
      </w:r>
      <w:r w:rsidRPr="005F09C1">
        <w:rPr>
          <w:rFonts w:cstheme="minorHAnsi"/>
          <w:i/>
          <w:iCs/>
        </w:rPr>
        <w:t>Piano Clement Marot</w:t>
      </w:r>
      <w:r w:rsidR="00DF525B" w:rsidRPr="005F09C1">
        <w:rPr>
          <w:rFonts w:cstheme="minorHAnsi"/>
          <w:i/>
          <w:iCs/>
        </w:rPr>
        <w:t>.</w:t>
      </w:r>
      <w:r w:rsidRPr="005F09C1">
        <w:rPr>
          <w:rFonts w:cstheme="minorHAnsi"/>
          <w:i/>
          <w:iCs/>
        </w:rPr>
        <w:br/>
      </w:r>
      <w:r>
        <w:rPr>
          <w:rFonts w:cstheme="minorHAnsi"/>
        </w:rPr>
        <w:t>I</w:t>
      </w:r>
      <w:r w:rsidRPr="00A17A13">
        <w:rPr>
          <w:rFonts w:cstheme="minorHAnsi"/>
        </w:rPr>
        <w:t xml:space="preserve">l piano </w:t>
      </w:r>
      <w:r w:rsidR="002C7928">
        <w:rPr>
          <w:rFonts w:cstheme="minorHAnsi"/>
        </w:rPr>
        <w:t>in questione</w:t>
      </w:r>
      <w:r w:rsidRPr="00A17A13">
        <w:rPr>
          <w:rFonts w:cstheme="minorHAnsi"/>
        </w:rPr>
        <w:t xml:space="preserve"> </w:t>
      </w:r>
      <w:proofErr w:type="gramStart"/>
      <w:r>
        <w:rPr>
          <w:rFonts w:cstheme="minorHAnsi"/>
        </w:rPr>
        <w:t>era</w:t>
      </w:r>
      <w:r w:rsidRPr="00A17A13">
        <w:rPr>
          <w:rFonts w:cstheme="minorHAnsi"/>
        </w:rPr>
        <w:t xml:space="preserve">  inteso</w:t>
      </w:r>
      <w:proofErr w:type="gramEnd"/>
      <w:r w:rsidRPr="00A17A13">
        <w:rPr>
          <w:rFonts w:cstheme="minorHAnsi"/>
        </w:rPr>
        <w:t xml:space="preserve"> a garantire, in circostanze eccezionali di crisi, un servizio minimo da parte de</w:t>
      </w:r>
      <w:r w:rsidR="005F09C1">
        <w:rPr>
          <w:rFonts w:cstheme="minorHAnsi"/>
        </w:rPr>
        <w:t>i</w:t>
      </w:r>
      <w:r w:rsidRPr="00A17A13">
        <w:rPr>
          <w:rFonts w:cstheme="minorHAnsi"/>
        </w:rPr>
        <w:t xml:space="preserve"> militari</w:t>
      </w:r>
      <w:r>
        <w:rPr>
          <w:rFonts w:cstheme="minorHAnsi"/>
        </w:rPr>
        <w:t>.</w:t>
      </w:r>
      <w:r w:rsidRPr="00A17A13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17A13">
        <w:rPr>
          <w:rFonts w:cstheme="minorHAnsi"/>
        </w:rPr>
        <w:t>Il piano</w:t>
      </w:r>
      <w:r>
        <w:rPr>
          <w:rFonts w:cstheme="minorHAnsi"/>
        </w:rPr>
        <w:t xml:space="preserve"> </w:t>
      </w:r>
      <w:r w:rsidRPr="00A17A13">
        <w:rPr>
          <w:rFonts w:cstheme="minorHAnsi"/>
        </w:rPr>
        <w:t>utilizza</w:t>
      </w:r>
      <w:r>
        <w:rPr>
          <w:rFonts w:cstheme="minorHAnsi"/>
        </w:rPr>
        <w:t>va</w:t>
      </w:r>
      <w:r w:rsidRPr="00A17A13">
        <w:rPr>
          <w:rFonts w:cstheme="minorHAnsi"/>
        </w:rPr>
        <w:t xml:space="preserve"> rotte aeree, frequenze e procedure diverse da quelle della situazione normale, data la portata radio e radar delle installazioni militari mobilitate per l</w:t>
      </w:r>
      <w:r>
        <w:rPr>
          <w:rFonts w:cstheme="minorHAnsi"/>
        </w:rPr>
        <w:t>’</w:t>
      </w:r>
      <w:r w:rsidRPr="00A17A13">
        <w:rPr>
          <w:rFonts w:cstheme="minorHAnsi"/>
        </w:rPr>
        <w:t>occasione.</w:t>
      </w:r>
      <w:r w:rsidR="002C7928">
        <w:rPr>
          <w:rFonts w:cstheme="minorHAnsi"/>
        </w:rPr>
        <w:t xml:space="preserve"> Ma purtroppo in quella occasione il piano mise in luce tutte le sue incapacità a poter </w:t>
      </w:r>
      <w:r w:rsidR="00123A76">
        <w:rPr>
          <w:rFonts w:cstheme="minorHAnsi"/>
        </w:rPr>
        <w:t>dirigere</w:t>
      </w:r>
      <w:r w:rsidR="002C7928">
        <w:rPr>
          <w:rFonts w:cstheme="minorHAnsi"/>
        </w:rPr>
        <w:t xml:space="preserve"> un corretto flusso del traffico aereo.</w:t>
      </w:r>
      <w:r w:rsidRPr="00A17A13">
        <w:rPr>
          <w:rFonts w:cstheme="minorHAnsi"/>
        </w:rPr>
        <w:t xml:space="preserve"> </w:t>
      </w:r>
      <w:r>
        <w:rPr>
          <w:rFonts w:cstheme="minorHAnsi"/>
        </w:rPr>
        <w:t>Dopo l’incidente</w:t>
      </w:r>
      <w:r w:rsidR="002C7928">
        <w:rPr>
          <w:rFonts w:cstheme="minorHAnsi"/>
        </w:rPr>
        <w:t xml:space="preserve"> che cos</w:t>
      </w:r>
      <w:r w:rsidR="005F09C1">
        <w:rPr>
          <w:rFonts w:cstheme="minorHAnsi"/>
        </w:rPr>
        <w:t>t</w:t>
      </w:r>
      <w:r w:rsidR="002C7928">
        <w:rPr>
          <w:rFonts w:cstheme="minorHAnsi"/>
        </w:rPr>
        <w:t>ò la vita ai 68 occupanti di un DC9 Iberia che volava da Madrid a Londra</w:t>
      </w:r>
      <w:r>
        <w:rPr>
          <w:rFonts w:cstheme="minorHAnsi"/>
        </w:rPr>
        <w:t xml:space="preserve"> vi furono molte polemiche fra il sindacat</w:t>
      </w:r>
      <w:r w:rsidR="002C7928">
        <w:rPr>
          <w:rFonts w:cstheme="minorHAnsi"/>
        </w:rPr>
        <w:t>o</w:t>
      </w:r>
      <w:r>
        <w:rPr>
          <w:rFonts w:cstheme="minorHAnsi"/>
        </w:rPr>
        <w:t xml:space="preserve"> dei piloti di linea e il Ministero dei trasporti</w:t>
      </w:r>
      <w:r w:rsidR="002C7928">
        <w:rPr>
          <w:rFonts w:cstheme="minorHAnsi"/>
        </w:rPr>
        <w:t xml:space="preserve"> francese</w:t>
      </w:r>
      <w:r>
        <w:rPr>
          <w:rFonts w:cstheme="minorHAnsi"/>
        </w:rPr>
        <w:t xml:space="preserve">. </w:t>
      </w:r>
      <w:r w:rsidR="002C7928">
        <w:rPr>
          <w:rFonts w:cstheme="minorHAnsi"/>
        </w:rPr>
        <w:t>N</w:t>
      </w:r>
      <w:r w:rsidRPr="003F78D4">
        <w:rPr>
          <w:rFonts w:cstheme="minorHAnsi"/>
          <w:color w:val="000000" w:themeColor="text1"/>
        </w:rPr>
        <w:t>el 1982, una sentenza di appello del Consiglio di Stato concluse che lo Stato era pienamente responsabile dell</w:t>
      </w:r>
      <w:r>
        <w:rPr>
          <w:rFonts w:cstheme="minorHAnsi"/>
          <w:color w:val="000000" w:themeColor="text1"/>
        </w:rPr>
        <w:t>’</w:t>
      </w:r>
      <w:r w:rsidRPr="003F78D4">
        <w:rPr>
          <w:rFonts w:cstheme="minorHAnsi"/>
          <w:color w:val="000000" w:themeColor="text1"/>
        </w:rPr>
        <w:t>incidente, a causa dell</w:t>
      </w:r>
      <w:r>
        <w:rPr>
          <w:rFonts w:cstheme="minorHAnsi"/>
          <w:color w:val="000000" w:themeColor="text1"/>
        </w:rPr>
        <w:t>’</w:t>
      </w:r>
      <w:r w:rsidRPr="003F78D4">
        <w:rPr>
          <w:rFonts w:cstheme="minorHAnsi"/>
          <w:color w:val="000000" w:themeColor="text1"/>
        </w:rPr>
        <w:t>assegnazione dello stesso livello di volo a entrambi gli aeromobili, nonché della mancanza di co</w:t>
      </w:r>
      <w:r>
        <w:rPr>
          <w:rFonts w:cstheme="minorHAnsi"/>
          <w:color w:val="000000" w:themeColor="text1"/>
        </w:rPr>
        <w:t>pertura</w:t>
      </w:r>
      <w:r w:rsidRPr="003F78D4">
        <w:rPr>
          <w:rFonts w:cstheme="minorHAnsi"/>
          <w:color w:val="000000" w:themeColor="text1"/>
        </w:rPr>
        <w:t xml:space="preserve"> radio e della richiesta di eseguire manovre di attesa impossibili da realizzare.</w:t>
      </w:r>
      <w:r w:rsidR="00DF525B">
        <w:rPr>
          <w:rFonts w:cstheme="minorHAnsi"/>
        </w:rPr>
        <w:t xml:space="preserve"> </w:t>
      </w:r>
      <w:r w:rsidRPr="003F78D4">
        <w:rPr>
          <w:rFonts w:cstheme="minorHAnsi"/>
          <w:color w:val="000000" w:themeColor="text1"/>
        </w:rPr>
        <w:t xml:space="preserve">Era la quinta volta in diciannove anni che Il piano Clément-Marot veniva messo in atto. Ma dopo quanto accaduto, le autorità civili e </w:t>
      </w:r>
      <w:proofErr w:type="gramStart"/>
      <w:r w:rsidRPr="003F78D4">
        <w:rPr>
          <w:rFonts w:cstheme="minorHAnsi"/>
          <w:color w:val="000000" w:themeColor="text1"/>
        </w:rPr>
        <w:t>militari  decisero</w:t>
      </w:r>
      <w:proofErr w:type="gramEnd"/>
      <w:r w:rsidRPr="003F78D4">
        <w:rPr>
          <w:rFonts w:cstheme="minorHAnsi"/>
          <w:color w:val="000000" w:themeColor="text1"/>
        </w:rPr>
        <w:t xml:space="preserve"> che que</w:t>
      </w:r>
      <w:r w:rsidR="005F09C1">
        <w:rPr>
          <w:rFonts w:cstheme="minorHAnsi"/>
          <w:color w:val="000000" w:themeColor="text1"/>
        </w:rPr>
        <w:t>l</w:t>
      </w:r>
      <w:r w:rsidRPr="003F78D4">
        <w:rPr>
          <w:rFonts w:cstheme="minorHAnsi"/>
          <w:color w:val="000000" w:themeColor="text1"/>
        </w:rPr>
        <w:t xml:space="preserve"> piano di crisi non poteva più essere applicato</w:t>
      </w:r>
      <w:r w:rsidR="002C7928">
        <w:rPr>
          <w:rFonts w:cstheme="minorHAnsi"/>
          <w:color w:val="000000" w:themeColor="text1"/>
        </w:rPr>
        <w:t xml:space="preserve"> e così infatti </w:t>
      </w:r>
      <w:r w:rsidR="005F09C1">
        <w:rPr>
          <w:rFonts w:cstheme="minorHAnsi"/>
          <w:color w:val="000000" w:themeColor="text1"/>
        </w:rPr>
        <w:t>avvenne</w:t>
      </w:r>
      <w:r w:rsidR="002C7928">
        <w:rPr>
          <w:rFonts w:cstheme="minorHAnsi"/>
          <w:color w:val="000000" w:themeColor="text1"/>
        </w:rPr>
        <w:t>.</w:t>
      </w:r>
    </w:p>
    <w:p w14:paraId="461B82D0" w14:textId="09C1C6F8" w:rsidR="00A736A2" w:rsidRDefault="005F09C1" w:rsidP="00FF6619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Ricordiamo questo tragico incidente per evidenziare quanto delicato sia l’argomento del controllo del traffico aereo e come è giusto che essa venga remunerato da chi ne usufruisce, ovvero le compagnie aeree tutte. </w:t>
      </w:r>
      <w:r w:rsidR="00DF525B" w:rsidRPr="00DF525B">
        <w:t xml:space="preserve"> </w:t>
      </w:r>
      <w:r w:rsidR="00A736A2">
        <w:rPr>
          <w:rFonts w:cstheme="minorHAnsi"/>
          <w:color w:val="000000" w:themeColor="text1"/>
        </w:rPr>
        <w:t xml:space="preserve">Il calcolo e l’importo di queste </w:t>
      </w:r>
      <w:r w:rsidR="00805716">
        <w:rPr>
          <w:rFonts w:cstheme="minorHAnsi"/>
          <w:color w:val="000000" w:themeColor="text1"/>
        </w:rPr>
        <w:t>fees</w:t>
      </w:r>
      <w:r w:rsidR="00A736A2">
        <w:rPr>
          <w:rFonts w:cstheme="minorHAnsi"/>
          <w:color w:val="000000" w:themeColor="text1"/>
        </w:rPr>
        <w:t xml:space="preserve"> non è prestabilito dalla IATA o dall’ICAO bensì ogni Stato è libero di applicare tasse dall’importo variabile a sua discrezione. Tenendo però presente che</w:t>
      </w:r>
      <w:r w:rsidR="00DF525B" w:rsidRPr="00DF525B">
        <w:rPr>
          <w:rFonts w:cstheme="minorHAnsi"/>
          <w:color w:val="000000" w:themeColor="text1"/>
        </w:rPr>
        <w:t xml:space="preserve"> aeroporti e fornitori di servizi di navigazione aerea (ANSP</w:t>
      </w:r>
      <w:r w:rsidR="002C7928">
        <w:rPr>
          <w:rFonts w:cstheme="minorHAnsi"/>
          <w:color w:val="000000" w:themeColor="text1"/>
        </w:rPr>
        <w:t xml:space="preserve">, Air Navigation Sevices </w:t>
      </w:r>
      <w:r w:rsidR="00805716">
        <w:rPr>
          <w:rFonts w:cstheme="minorHAnsi"/>
          <w:color w:val="000000" w:themeColor="text1"/>
        </w:rPr>
        <w:t>P</w:t>
      </w:r>
      <w:r w:rsidR="002C7928">
        <w:rPr>
          <w:rFonts w:cstheme="minorHAnsi"/>
          <w:color w:val="000000" w:themeColor="text1"/>
        </w:rPr>
        <w:t>roviders)</w:t>
      </w:r>
      <w:r w:rsidR="00DF525B" w:rsidRPr="00DF525B">
        <w:rPr>
          <w:rFonts w:cstheme="minorHAnsi"/>
          <w:color w:val="000000" w:themeColor="text1"/>
        </w:rPr>
        <w:t xml:space="preserve"> </w:t>
      </w:r>
      <w:r w:rsidR="00A736A2">
        <w:rPr>
          <w:rFonts w:cstheme="minorHAnsi"/>
          <w:color w:val="000000" w:themeColor="text1"/>
        </w:rPr>
        <w:t>sono</w:t>
      </w:r>
      <w:r w:rsidR="00DF525B" w:rsidRPr="00DF525B">
        <w:rPr>
          <w:rFonts w:cstheme="minorHAnsi"/>
          <w:color w:val="000000" w:themeColor="text1"/>
        </w:rPr>
        <w:t>,</w:t>
      </w:r>
      <w:r w:rsidR="00DF525B">
        <w:rPr>
          <w:rFonts w:cstheme="minorHAnsi"/>
          <w:color w:val="000000" w:themeColor="text1"/>
        </w:rPr>
        <w:t xml:space="preserve"> </w:t>
      </w:r>
      <w:r w:rsidR="00DF525B" w:rsidRPr="00DF525B">
        <w:rPr>
          <w:rFonts w:cstheme="minorHAnsi"/>
          <w:color w:val="000000" w:themeColor="text1"/>
        </w:rPr>
        <w:t xml:space="preserve">per la maggior parte, </w:t>
      </w:r>
      <w:r w:rsidR="00DF525B" w:rsidRPr="00A736A2">
        <w:rPr>
          <w:rFonts w:cstheme="minorHAnsi"/>
          <w:b/>
          <w:bCs/>
          <w:color w:val="000000" w:themeColor="text1"/>
        </w:rPr>
        <w:t xml:space="preserve">monopoli </w:t>
      </w:r>
      <w:r w:rsidR="00DF525B" w:rsidRPr="00A736A2">
        <w:rPr>
          <w:rFonts w:cstheme="minorHAnsi"/>
          <w:b/>
          <w:bCs/>
          <w:color w:val="000000" w:themeColor="text1"/>
        </w:rPr>
        <w:lastRenderedPageBreak/>
        <w:t>naturali</w:t>
      </w:r>
      <w:r w:rsidR="00DF525B" w:rsidRPr="00DF525B">
        <w:rPr>
          <w:rFonts w:cstheme="minorHAnsi"/>
          <w:color w:val="000000" w:themeColor="text1"/>
        </w:rPr>
        <w:t xml:space="preserve"> </w:t>
      </w:r>
      <w:r w:rsidR="00A736A2">
        <w:rPr>
          <w:rFonts w:cstheme="minorHAnsi"/>
          <w:color w:val="000000" w:themeColor="text1"/>
        </w:rPr>
        <w:t>è ben comprensibile il rischio che in</w:t>
      </w:r>
      <w:r w:rsidR="00DF525B" w:rsidRPr="00DF525B">
        <w:rPr>
          <w:rFonts w:cstheme="minorHAnsi"/>
          <w:color w:val="000000" w:themeColor="text1"/>
        </w:rPr>
        <w:t xml:space="preserve"> assenza di</w:t>
      </w:r>
      <w:r w:rsidR="00DF525B">
        <w:rPr>
          <w:rFonts w:cstheme="minorHAnsi"/>
          <w:color w:val="000000" w:themeColor="text1"/>
        </w:rPr>
        <w:t xml:space="preserve"> </w:t>
      </w:r>
      <w:r w:rsidR="00DF525B" w:rsidRPr="00DF525B">
        <w:rPr>
          <w:rFonts w:cstheme="minorHAnsi"/>
          <w:color w:val="000000" w:themeColor="text1"/>
        </w:rPr>
        <w:t xml:space="preserve">una forte regolamentazione economica, </w:t>
      </w:r>
      <w:r w:rsidR="00A736A2">
        <w:rPr>
          <w:rFonts w:cstheme="minorHAnsi"/>
          <w:color w:val="000000" w:themeColor="text1"/>
        </w:rPr>
        <w:t xml:space="preserve">il monopolista </w:t>
      </w:r>
      <w:r w:rsidR="00DF525B" w:rsidRPr="00DF525B">
        <w:rPr>
          <w:rFonts w:cstheme="minorHAnsi"/>
          <w:color w:val="000000" w:themeColor="text1"/>
        </w:rPr>
        <w:t>poss</w:t>
      </w:r>
      <w:r w:rsidR="00A736A2">
        <w:rPr>
          <w:rFonts w:cstheme="minorHAnsi"/>
          <w:color w:val="000000" w:themeColor="text1"/>
        </w:rPr>
        <w:t>a</w:t>
      </w:r>
      <w:r w:rsidR="00DF525B" w:rsidRPr="00DF525B">
        <w:rPr>
          <w:rFonts w:cstheme="minorHAnsi"/>
          <w:color w:val="000000" w:themeColor="text1"/>
        </w:rPr>
        <w:t xml:space="preserve"> aumentare arbitrariamente i propri</w:t>
      </w:r>
      <w:r w:rsidR="00DF525B">
        <w:rPr>
          <w:rFonts w:cstheme="minorHAnsi"/>
          <w:color w:val="000000" w:themeColor="text1"/>
        </w:rPr>
        <w:t xml:space="preserve"> </w:t>
      </w:r>
      <w:r w:rsidR="00DF525B" w:rsidRPr="00DF525B">
        <w:rPr>
          <w:rFonts w:cstheme="minorHAnsi"/>
          <w:color w:val="000000" w:themeColor="text1"/>
        </w:rPr>
        <w:t>prezzi, generando profitti eccessivi</w:t>
      </w:r>
      <w:r w:rsidR="00A736A2">
        <w:rPr>
          <w:rFonts w:cstheme="minorHAnsi"/>
          <w:color w:val="000000" w:themeColor="text1"/>
        </w:rPr>
        <w:t>,</w:t>
      </w:r>
      <w:r w:rsidR="00DF525B" w:rsidRPr="00DF525B">
        <w:rPr>
          <w:rFonts w:cstheme="minorHAnsi"/>
          <w:color w:val="000000" w:themeColor="text1"/>
        </w:rPr>
        <w:t xml:space="preserve"> ingiustificati e/o</w:t>
      </w:r>
      <w:r w:rsidR="00DF525B">
        <w:rPr>
          <w:rFonts w:cstheme="minorHAnsi"/>
          <w:color w:val="000000" w:themeColor="text1"/>
        </w:rPr>
        <w:t xml:space="preserve"> </w:t>
      </w:r>
      <w:r w:rsidR="00DF525B" w:rsidRPr="00DF525B">
        <w:rPr>
          <w:rFonts w:cstheme="minorHAnsi"/>
          <w:color w:val="000000" w:themeColor="text1"/>
        </w:rPr>
        <w:t xml:space="preserve">un’erogazione inefficiente dei servizi. </w:t>
      </w:r>
      <w:r w:rsidR="00805716">
        <w:rPr>
          <w:rFonts w:cstheme="minorHAnsi"/>
          <w:color w:val="000000" w:themeColor="text1"/>
        </w:rPr>
        <w:t xml:space="preserve"> Da parte sua l</w:t>
      </w:r>
      <w:r w:rsidR="00FF6619">
        <w:rPr>
          <w:rFonts w:cstheme="minorHAnsi"/>
          <w:color w:val="000000" w:themeColor="text1"/>
        </w:rPr>
        <w:t>’ICAO si limita a dire che l</w:t>
      </w:r>
      <w:r w:rsidR="00FF6619" w:rsidRPr="00FF6619">
        <w:rPr>
          <w:rFonts w:cstheme="minorHAnsi"/>
          <w:color w:val="000000" w:themeColor="text1"/>
        </w:rPr>
        <w:t>e disposizioni in materia di tariffe, compresi</w:t>
      </w:r>
      <w:r w:rsidR="00FF6619">
        <w:rPr>
          <w:rFonts w:cstheme="minorHAnsi"/>
          <w:color w:val="000000" w:themeColor="text1"/>
        </w:rPr>
        <w:t xml:space="preserve"> </w:t>
      </w:r>
      <w:r w:rsidR="00FF6619" w:rsidRPr="00FF6619">
        <w:rPr>
          <w:rFonts w:cstheme="minorHAnsi"/>
          <w:color w:val="000000" w:themeColor="text1"/>
        </w:rPr>
        <w:t>i principi fondamentali di non discriminazione, di</w:t>
      </w:r>
      <w:r w:rsidR="00FF6619">
        <w:rPr>
          <w:rFonts w:cstheme="minorHAnsi"/>
          <w:color w:val="000000" w:themeColor="text1"/>
        </w:rPr>
        <w:t xml:space="preserve"> </w:t>
      </w:r>
      <w:r w:rsidR="00FF6619" w:rsidRPr="00FF6619">
        <w:rPr>
          <w:rFonts w:cstheme="minorHAnsi"/>
          <w:color w:val="000000" w:themeColor="text1"/>
        </w:rPr>
        <w:t>corrispondenza ai costi,</w:t>
      </w:r>
      <w:r w:rsidR="00FF6619">
        <w:rPr>
          <w:rFonts w:cstheme="minorHAnsi"/>
          <w:color w:val="000000" w:themeColor="text1"/>
        </w:rPr>
        <w:t xml:space="preserve"> </w:t>
      </w:r>
      <w:r w:rsidR="00FF6619" w:rsidRPr="00FF6619">
        <w:rPr>
          <w:rFonts w:cstheme="minorHAnsi"/>
          <w:color w:val="000000" w:themeColor="text1"/>
        </w:rPr>
        <w:t>di trasparenza</w:t>
      </w:r>
      <w:r w:rsidR="00FF6619">
        <w:rPr>
          <w:rFonts w:cstheme="minorHAnsi"/>
          <w:color w:val="000000" w:themeColor="text1"/>
        </w:rPr>
        <w:t xml:space="preserve"> </w:t>
      </w:r>
      <w:r w:rsidR="00FF6619" w:rsidRPr="00FF6619">
        <w:rPr>
          <w:rFonts w:cstheme="minorHAnsi"/>
          <w:color w:val="000000" w:themeColor="text1"/>
        </w:rPr>
        <w:t>e</w:t>
      </w:r>
      <w:r w:rsidR="00FF6619">
        <w:rPr>
          <w:rFonts w:cstheme="minorHAnsi"/>
          <w:color w:val="000000" w:themeColor="text1"/>
        </w:rPr>
        <w:t xml:space="preserve"> </w:t>
      </w:r>
      <w:r w:rsidR="00FF6619" w:rsidRPr="00FF6619">
        <w:rPr>
          <w:rFonts w:cstheme="minorHAnsi"/>
          <w:color w:val="000000" w:themeColor="text1"/>
        </w:rPr>
        <w:t>di</w:t>
      </w:r>
      <w:r w:rsidR="00FF6619">
        <w:rPr>
          <w:rFonts w:cstheme="minorHAnsi"/>
          <w:color w:val="000000" w:themeColor="text1"/>
        </w:rPr>
        <w:t xml:space="preserve"> </w:t>
      </w:r>
      <w:r w:rsidR="00FF6619" w:rsidRPr="00FF6619">
        <w:rPr>
          <w:rFonts w:cstheme="minorHAnsi"/>
          <w:color w:val="000000" w:themeColor="text1"/>
        </w:rPr>
        <w:t>consultazione significativa</w:t>
      </w:r>
      <w:r w:rsidR="00FF6619">
        <w:rPr>
          <w:rFonts w:cstheme="minorHAnsi"/>
          <w:color w:val="000000" w:themeColor="text1"/>
        </w:rPr>
        <w:t xml:space="preserve"> </w:t>
      </w:r>
      <w:r w:rsidR="00FF6619" w:rsidRPr="00FF6619">
        <w:rPr>
          <w:rFonts w:cstheme="minorHAnsi"/>
          <w:color w:val="000000" w:themeColor="text1"/>
        </w:rPr>
        <w:t>con gli utenti, devono essere integrate nel</w:t>
      </w:r>
      <w:r w:rsidR="00FF6619">
        <w:rPr>
          <w:rFonts w:cstheme="minorHAnsi"/>
          <w:color w:val="000000" w:themeColor="text1"/>
        </w:rPr>
        <w:t xml:space="preserve"> </w:t>
      </w:r>
      <w:r w:rsidR="00FF6619" w:rsidRPr="00FF6619">
        <w:rPr>
          <w:rFonts w:cstheme="minorHAnsi"/>
          <w:color w:val="000000" w:themeColor="text1"/>
        </w:rPr>
        <w:t>quadro normativo economico</w:t>
      </w:r>
      <w:r w:rsidR="00FF6619">
        <w:rPr>
          <w:rFonts w:cstheme="minorHAnsi"/>
          <w:color w:val="000000" w:themeColor="text1"/>
        </w:rPr>
        <w:t xml:space="preserve"> che ogni provider di servizi deve sottomettere.</w:t>
      </w:r>
    </w:p>
    <w:p w14:paraId="0227BC14" w14:textId="14CDD488" w:rsidR="007E2072" w:rsidRPr="007E2072" w:rsidRDefault="007E2072" w:rsidP="007E2072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Limitando il </w:t>
      </w:r>
      <w:r w:rsidR="00954B19">
        <w:rPr>
          <w:rFonts w:cstheme="minorHAnsi"/>
          <w:color w:val="000000" w:themeColor="text1"/>
        </w:rPr>
        <w:t>presente</w:t>
      </w:r>
      <w:r>
        <w:rPr>
          <w:rFonts w:cstheme="minorHAnsi"/>
          <w:color w:val="000000" w:themeColor="text1"/>
        </w:rPr>
        <w:t xml:space="preserve"> </w:t>
      </w:r>
      <w:r w:rsidR="00954B19">
        <w:rPr>
          <w:rFonts w:cstheme="minorHAnsi"/>
          <w:color w:val="000000" w:themeColor="text1"/>
        </w:rPr>
        <w:t>intervento</w:t>
      </w:r>
      <w:r>
        <w:rPr>
          <w:rFonts w:cstheme="minorHAnsi"/>
          <w:color w:val="000000" w:themeColor="text1"/>
        </w:rPr>
        <w:t xml:space="preserve"> alle sole tasse di rotta </w:t>
      </w:r>
      <w:r w:rsidRPr="007E2072">
        <w:rPr>
          <w:rFonts w:cstheme="minorHAnsi"/>
          <w:color w:val="EE0000"/>
          <w:sz w:val="16"/>
          <w:szCs w:val="16"/>
        </w:rPr>
        <w:t>(2)</w:t>
      </w:r>
      <w:r w:rsidRPr="007E2072">
        <w:rPr>
          <w:rFonts w:cstheme="minorHAnsi"/>
          <w:color w:val="EE0000"/>
        </w:rPr>
        <w:t xml:space="preserve"> </w:t>
      </w:r>
      <w:r>
        <w:rPr>
          <w:rFonts w:cstheme="minorHAnsi"/>
          <w:color w:val="000000" w:themeColor="text1"/>
        </w:rPr>
        <w:t xml:space="preserve">partiamo da quanto avviene in Europa.  Il nostro continente </w:t>
      </w:r>
      <w:r w:rsidRPr="007E2072">
        <w:rPr>
          <w:rFonts w:cstheme="minorHAnsi"/>
          <w:color w:val="000000" w:themeColor="text1"/>
        </w:rPr>
        <w:t>è suddiviso in zone tariffarie di rotta, come definito dagli Stati membri</w:t>
      </w:r>
      <w:r>
        <w:rPr>
          <w:rFonts w:cstheme="minorHAnsi"/>
          <w:color w:val="000000" w:themeColor="text1"/>
        </w:rPr>
        <w:t xml:space="preserve"> e in esso il calcolo viene fatto avvalendosi della </w:t>
      </w:r>
      <w:r w:rsidRPr="00650D8C">
        <w:rPr>
          <w:rFonts w:cstheme="minorHAnsi"/>
          <w:i/>
          <w:iCs/>
          <w:color w:val="000000" w:themeColor="text1"/>
        </w:rPr>
        <w:t>formula di Eurocontrol</w:t>
      </w:r>
      <w:r>
        <w:rPr>
          <w:rFonts w:cstheme="minorHAnsi"/>
          <w:color w:val="000000" w:themeColor="text1"/>
        </w:rPr>
        <w:t xml:space="preserve"> la quale </w:t>
      </w:r>
      <w:r w:rsidRPr="007E2072">
        <w:rPr>
          <w:rFonts w:cstheme="minorHAnsi"/>
          <w:color w:val="000000" w:themeColor="text1"/>
        </w:rPr>
        <w:t>tiene conto di tre elementi fondamentali:</w:t>
      </w:r>
    </w:p>
    <w:p w14:paraId="4966EF9B" w14:textId="77777777" w:rsidR="007E2072" w:rsidRPr="007E2072" w:rsidRDefault="007E2072" w:rsidP="007E2072">
      <w:pPr>
        <w:rPr>
          <w:rFonts w:cstheme="minorHAnsi"/>
          <w:color w:val="000000" w:themeColor="text1"/>
        </w:rPr>
      </w:pPr>
      <w:r w:rsidRPr="007E2072">
        <w:rPr>
          <w:rFonts w:cstheme="minorHAnsi"/>
          <w:color w:val="000000" w:themeColor="text1"/>
        </w:rPr>
        <w:t>• il fattore distanza (per ciascuna zona tariffaria);</w:t>
      </w:r>
    </w:p>
    <w:p w14:paraId="0D02EAD3" w14:textId="77777777" w:rsidR="007E2072" w:rsidRPr="007E2072" w:rsidRDefault="007E2072" w:rsidP="007E2072">
      <w:pPr>
        <w:rPr>
          <w:rFonts w:cstheme="minorHAnsi"/>
          <w:color w:val="000000" w:themeColor="text1"/>
        </w:rPr>
      </w:pPr>
      <w:r w:rsidRPr="007E2072">
        <w:rPr>
          <w:rFonts w:cstheme="minorHAnsi"/>
          <w:color w:val="000000" w:themeColor="text1"/>
        </w:rPr>
        <w:t>• il fattore peso dell’aeromobile; e</w:t>
      </w:r>
    </w:p>
    <w:p w14:paraId="43F75F25" w14:textId="375F11B1" w:rsidR="007E2072" w:rsidRPr="007E2072" w:rsidRDefault="007E2072" w:rsidP="007E2072">
      <w:pPr>
        <w:rPr>
          <w:rFonts w:cstheme="minorHAnsi"/>
          <w:color w:val="000000" w:themeColor="text1"/>
        </w:rPr>
      </w:pPr>
      <w:r w:rsidRPr="007E2072">
        <w:rPr>
          <w:rFonts w:cstheme="minorHAnsi"/>
          <w:color w:val="000000" w:themeColor="text1"/>
        </w:rPr>
        <w:t>• l’aliquota unitaria della tariffa per ciascuna zona tariffaria</w:t>
      </w:r>
      <w:r>
        <w:rPr>
          <w:rFonts w:cstheme="minorHAnsi"/>
          <w:color w:val="000000" w:themeColor="text1"/>
        </w:rPr>
        <w:t>, denominat</w:t>
      </w:r>
      <w:r w:rsidR="00805716">
        <w:rPr>
          <w:rFonts w:cstheme="minorHAnsi"/>
          <w:color w:val="000000" w:themeColor="text1"/>
        </w:rPr>
        <w:t>a</w:t>
      </w:r>
      <w:r>
        <w:rPr>
          <w:rFonts w:cstheme="minorHAnsi"/>
          <w:color w:val="000000" w:themeColor="text1"/>
        </w:rPr>
        <w:t xml:space="preserve"> CUT, Coefficiente Unitario di Tassazione</w:t>
      </w:r>
      <w:r w:rsidRPr="007E2072">
        <w:rPr>
          <w:rFonts w:cstheme="minorHAnsi"/>
          <w:color w:val="000000" w:themeColor="text1"/>
        </w:rPr>
        <w:t>.</w:t>
      </w:r>
    </w:p>
    <w:p w14:paraId="1A3EA6FF" w14:textId="45F46E24" w:rsidR="00FF6619" w:rsidRDefault="007E2072" w:rsidP="007E2072">
      <w:pPr>
        <w:rPr>
          <w:rFonts w:cstheme="minorHAnsi"/>
          <w:color w:val="000000" w:themeColor="text1"/>
        </w:rPr>
      </w:pPr>
      <w:r w:rsidRPr="007E2072">
        <w:rPr>
          <w:rFonts w:cstheme="minorHAnsi"/>
          <w:color w:val="000000" w:themeColor="text1"/>
        </w:rPr>
        <w:t xml:space="preserve">Il risultato ottenuto moltiplicando questi tre elementi costituisce la tariffa di rotta per ciascuna zona tariffaria. </w:t>
      </w:r>
    </w:p>
    <w:p w14:paraId="176D4C58" w14:textId="5A19A5DB" w:rsidR="007E2072" w:rsidRDefault="007E2072" w:rsidP="007E2072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Tutto semplice quindi? Una sola moltiplicazione? In effetti </w:t>
      </w:r>
      <w:r w:rsidR="00650D8C">
        <w:rPr>
          <w:rFonts w:cstheme="minorHAnsi"/>
          <w:color w:val="000000" w:themeColor="text1"/>
        </w:rPr>
        <w:t>il calcolo</w:t>
      </w:r>
      <w:r>
        <w:rPr>
          <w:rFonts w:cstheme="minorHAnsi"/>
          <w:color w:val="000000" w:themeColor="text1"/>
        </w:rPr>
        <w:t xml:space="preserve"> è p</w:t>
      </w:r>
      <w:r w:rsidR="00650D8C">
        <w:rPr>
          <w:rFonts w:cstheme="minorHAnsi"/>
          <w:color w:val="000000" w:themeColor="text1"/>
        </w:rPr>
        <w:t>iù compl</w:t>
      </w:r>
      <w:r w:rsidR="00805716">
        <w:rPr>
          <w:rFonts w:cstheme="minorHAnsi"/>
          <w:color w:val="000000" w:themeColor="text1"/>
        </w:rPr>
        <w:t>esso</w:t>
      </w:r>
      <w:r w:rsidR="00954B19">
        <w:rPr>
          <w:rFonts w:cstheme="minorHAnsi"/>
          <w:color w:val="000000" w:themeColor="text1"/>
        </w:rPr>
        <w:t xml:space="preserve"> e ci</w:t>
      </w:r>
      <w:r>
        <w:rPr>
          <w:rFonts w:cstheme="minorHAnsi"/>
          <w:color w:val="000000" w:themeColor="text1"/>
        </w:rPr>
        <w:t xml:space="preserve"> </w:t>
      </w:r>
      <w:r w:rsidR="00954B19">
        <w:rPr>
          <w:rFonts w:cstheme="minorHAnsi"/>
          <w:color w:val="000000" w:themeColor="text1"/>
        </w:rPr>
        <w:t>limiteremo</w:t>
      </w:r>
      <w:r>
        <w:rPr>
          <w:rFonts w:cstheme="minorHAnsi"/>
          <w:color w:val="000000" w:themeColor="text1"/>
        </w:rPr>
        <w:t xml:space="preserve"> a ricordare due punti: ogni Paese decide di applicare il suo CUT</w:t>
      </w:r>
      <w:r w:rsidR="00954B19">
        <w:rPr>
          <w:rFonts w:cstheme="minorHAnsi"/>
          <w:color w:val="000000" w:themeColor="text1"/>
        </w:rPr>
        <w:t>,</w:t>
      </w:r>
      <w:r>
        <w:rPr>
          <w:rFonts w:cstheme="minorHAnsi"/>
          <w:color w:val="000000" w:themeColor="text1"/>
        </w:rPr>
        <w:t xml:space="preserve"> e per quanto riguarda il peso dell’aerom</w:t>
      </w:r>
      <w:r w:rsidR="00650D8C">
        <w:rPr>
          <w:rFonts w:cstheme="minorHAnsi"/>
          <w:color w:val="000000" w:themeColor="text1"/>
        </w:rPr>
        <w:t>o</w:t>
      </w:r>
      <w:r>
        <w:rPr>
          <w:rFonts w:cstheme="minorHAnsi"/>
          <w:color w:val="000000" w:themeColor="text1"/>
        </w:rPr>
        <w:t>bile (che come detto non tiene conto del carico passeggeri realmente trasportato) esso è dato da questa f</w:t>
      </w:r>
      <w:r w:rsidR="00375060">
        <w:rPr>
          <w:rFonts w:cstheme="minorHAnsi"/>
          <w:color w:val="000000" w:themeColor="text1"/>
        </w:rPr>
        <w:t>o</w:t>
      </w:r>
      <w:r>
        <w:rPr>
          <w:rFonts w:cstheme="minorHAnsi"/>
          <w:color w:val="000000" w:themeColor="text1"/>
        </w:rPr>
        <w:t>rmula:</w:t>
      </w:r>
    </w:p>
    <w:p w14:paraId="41F56A56" w14:textId="53C321CD" w:rsidR="007E2072" w:rsidRDefault="007E2072" w:rsidP="007E2072">
      <w:pPr>
        <w:jc w:val="center"/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7FF497B3" wp14:editId="36435E9D">
            <wp:extent cx="1762371" cy="1019317"/>
            <wp:effectExtent l="0" t="0" r="9525" b="9525"/>
            <wp:docPr id="101197939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979394" name="Immagine 101197939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371" cy="1019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A6E3B" w14:textId="77777777" w:rsidR="00860C88" w:rsidRPr="00860C88" w:rsidRDefault="00650D8C" w:rsidP="00DF525B">
      <w:pPr>
        <w:rPr>
          <w:rFonts w:cstheme="minorHAnsi"/>
          <w:color w:val="EE0000"/>
          <w:sz w:val="16"/>
          <w:szCs w:val="16"/>
        </w:rPr>
      </w:pPr>
      <w:r>
        <w:rPr>
          <w:rFonts w:cstheme="minorHAnsi"/>
          <w:color w:val="000000" w:themeColor="text1"/>
        </w:rPr>
        <w:t xml:space="preserve">Inoltre la distanza non è proprio una semplice distanza chilometrica </w:t>
      </w:r>
      <w:r w:rsidRPr="00860C88">
        <w:rPr>
          <w:rFonts w:cstheme="minorHAnsi"/>
          <w:color w:val="EE0000"/>
          <w:sz w:val="16"/>
          <w:szCs w:val="16"/>
        </w:rPr>
        <w:t>(3)</w:t>
      </w:r>
    </w:p>
    <w:p w14:paraId="6B6B52E3" w14:textId="11AC1062" w:rsidR="00DF525B" w:rsidRDefault="00805716" w:rsidP="00DF525B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Ma senza voler troppo complicare il discorso, passiamo ad illustrarvi un reale</w:t>
      </w:r>
      <w:r w:rsidR="00E6368E">
        <w:rPr>
          <w:rFonts w:cstheme="minorHAnsi"/>
          <w:color w:val="000000" w:themeColor="text1"/>
        </w:rPr>
        <w:t xml:space="preserve"> caso di</w:t>
      </w:r>
      <w:r>
        <w:rPr>
          <w:rFonts w:cstheme="minorHAnsi"/>
          <w:color w:val="000000" w:themeColor="text1"/>
        </w:rPr>
        <w:t xml:space="preserve"> </w:t>
      </w:r>
      <w:r w:rsidR="00375060">
        <w:rPr>
          <w:rFonts w:cstheme="minorHAnsi"/>
          <w:color w:val="000000" w:themeColor="text1"/>
        </w:rPr>
        <w:t>costo di volo</w:t>
      </w:r>
      <w:r>
        <w:rPr>
          <w:rFonts w:cstheme="minorHAnsi"/>
          <w:color w:val="000000" w:themeColor="text1"/>
        </w:rPr>
        <w:t>.</w:t>
      </w:r>
    </w:p>
    <w:p w14:paraId="3EB6F30A" w14:textId="13E77F62" w:rsidR="00860C88" w:rsidRPr="00860C88" w:rsidRDefault="00860C88" w:rsidP="00DF525B">
      <w:pPr>
        <w:rPr>
          <w:rFonts w:cstheme="minorHAnsi"/>
          <w:color w:val="EE0000"/>
          <w:sz w:val="16"/>
          <w:szCs w:val="16"/>
        </w:rPr>
      </w:pPr>
      <w:r>
        <w:rPr>
          <w:rFonts w:cstheme="minorHAnsi"/>
          <w:color w:val="000000" w:themeColor="text1"/>
        </w:rPr>
        <w:t>Ecco un esempio di calcolo</w:t>
      </w:r>
      <w:r w:rsidR="00E6368E">
        <w:rPr>
          <w:rFonts w:cstheme="minorHAnsi"/>
          <w:color w:val="000000" w:themeColor="text1"/>
        </w:rPr>
        <w:t xml:space="preserve"> che comprende il sorvolo di più Paesi,</w:t>
      </w:r>
      <w:r>
        <w:rPr>
          <w:rFonts w:cstheme="minorHAnsi"/>
          <w:color w:val="000000" w:themeColor="text1"/>
        </w:rPr>
        <w:t xml:space="preserve"> così come riportato da una pubblicazione di Eurocontrol </w:t>
      </w:r>
      <w:r w:rsidRPr="00860C88">
        <w:rPr>
          <w:rFonts w:cstheme="minorHAnsi"/>
          <w:color w:val="EE0000"/>
          <w:sz w:val="16"/>
          <w:szCs w:val="16"/>
        </w:rPr>
        <w:t>(4)</w:t>
      </w:r>
    </w:p>
    <w:p w14:paraId="013A1DF5" w14:textId="065EBBF5" w:rsidR="00375060" w:rsidRDefault="00375060" w:rsidP="00DF525B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Volo Barcellona-Copenhagen</w:t>
      </w:r>
      <w:r w:rsidR="00860C88">
        <w:rPr>
          <w:rFonts w:cstheme="minorHAnsi"/>
          <w:color w:val="000000" w:themeColor="text1"/>
        </w:rPr>
        <w:t>. Questo volo intraeuropeo</w:t>
      </w:r>
      <w:r>
        <w:rPr>
          <w:rFonts w:cstheme="minorHAnsi"/>
          <w:color w:val="000000" w:themeColor="text1"/>
        </w:rPr>
        <w:t xml:space="preserve"> attraversa gli spazi aerei di Spagna, Francia, Belgio, </w:t>
      </w:r>
      <w:r w:rsidR="001953FB">
        <w:rPr>
          <w:rFonts w:cstheme="minorHAnsi"/>
          <w:color w:val="000000" w:themeColor="text1"/>
        </w:rPr>
        <w:t>Olanda, Germania e Danimarca e applicando i tre fattori di cui sopra</w:t>
      </w:r>
      <w:r w:rsidR="00805716">
        <w:rPr>
          <w:rFonts w:cstheme="minorHAnsi"/>
          <w:color w:val="000000" w:themeColor="text1"/>
        </w:rPr>
        <w:t>,</w:t>
      </w:r>
      <w:r w:rsidR="00860C88">
        <w:rPr>
          <w:rFonts w:cstheme="minorHAnsi"/>
          <w:color w:val="000000" w:themeColor="text1"/>
        </w:rPr>
        <w:t xml:space="preserve"> questo il calcolo che appare nella pubblicazione di Eurocontrol</w:t>
      </w:r>
      <w:r w:rsidR="001953FB">
        <w:rPr>
          <w:rFonts w:cstheme="minorHAnsi"/>
          <w:color w:val="000000" w:themeColor="text1"/>
        </w:rPr>
        <w:t>:</w:t>
      </w:r>
    </w:p>
    <w:p w14:paraId="2E2252D8" w14:textId="6B1C475B" w:rsidR="001953FB" w:rsidRPr="00DF525B" w:rsidRDefault="001953FB" w:rsidP="00DF525B">
      <w:pPr>
        <w:rPr>
          <w:rFonts w:cstheme="minorHAnsi"/>
          <w:color w:val="000000" w:themeColor="text1"/>
        </w:rPr>
      </w:pPr>
      <w:r>
        <w:rPr>
          <w:rFonts w:cstheme="minorHAnsi"/>
          <w:noProof/>
          <w:color w:val="000000" w:themeColor="text1"/>
        </w:rPr>
        <w:drawing>
          <wp:inline distT="0" distB="0" distL="0" distR="0" wp14:anchorId="36EA632C" wp14:editId="1A46C6CB">
            <wp:extent cx="5876925" cy="1847850"/>
            <wp:effectExtent l="0" t="0" r="9525" b="0"/>
            <wp:docPr id="118420664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206642" name="Immagine 118420664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E4A70" w14:textId="0D35FE4B" w:rsidR="0038406B" w:rsidRDefault="00805716" w:rsidP="0038406B">
      <w:r>
        <w:lastRenderedPageBreak/>
        <w:t>Per questo volo il vettore aereo dovrà versare a Eurocontrol la somma complessiva</w:t>
      </w:r>
      <w:r w:rsidR="001953FB">
        <w:t xml:space="preserve"> di 1784,61 euro.</w:t>
      </w:r>
      <w:r w:rsidR="00D87C86">
        <w:t xml:space="preserve"> Ma attenzione</w:t>
      </w:r>
      <w:r w:rsidR="00860C88">
        <w:t>,</w:t>
      </w:r>
      <w:r w:rsidR="00D87C86">
        <w:t xml:space="preserve"> questo calcolo </w:t>
      </w:r>
      <w:r w:rsidR="00860C88">
        <w:t>è basato sulle</w:t>
      </w:r>
      <w:r w:rsidR="00D87C86">
        <w:t xml:space="preserve"> </w:t>
      </w:r>
      <w:r w:rsidR="00D87C86" w:rsidRPr="003752CB">
        <w:rPr>
          <w:i/>
          <w:iCs/>
        </w:rPr>
        <w:t>Unit Rates</w:t>
      </w:r>
      <w:r w:rsidR="00D87C86">
        <w:t xml:space="preserve"> in vigore al Dicembre 2024</w:t>
      </w:r>
      <w:r w:rsidR="00860C88">
        <w:t xml:space="preserve"> e </w:t>
      </w:r>
      <w:r w:rsidR="00954B19">
        <w:t>-</w:t>
      </w:r>
      <w:r w:rsidR="00860C88">
        <w:t>come abbiamo avvertito</w:t>
      </w:r>
      <w:r w:rsidR="00954B19">
        <w:t>-</w:t>
      </w:r>
      <w:r w:rsidR="00860C88">
        <w:t xml:space="preserve"> ogni Paese </w:t>
      </w:r>
      <w:r w:rsidR="003752CB">
        <w:t xml:space="preserve">all’occorrenza </w:t>
      </w:r>
      <w:r w:rsidR="00860C88">
        <w:t xml:space="preserve">è libero di </w:t>
      </w:r>
      <w:r w:rsidR="00954B19">
        <w:t>“revisionare”</w:t>
      </w:r>
      <w:r w:rsidR="00860C88">
        <w:t xml:space="preserve"> il suo CUT. Ebbene aggiornando la tabella ai valori di oggi, </w:t>
      </w:r>
      <w:r w:rsidR="00D87C86">
        <w:t>Ottobre 2026, Eurocontrol informa che i CUT in vigore sono</w:t>
      </w:r>
      <w:r>
        <w:t xml:space="preserve"> quelli che troviamo nel sottostante riquadro</w:t>
      </w:r>
      <w:r w:rsidR="00D87C86">
        <w:t>:</w:t>
      </w:r>
    </w:p>
    <w:p w14:paraId="1F1D732D" w14:textId="4D7BDA27" w:rsidR="00D87C86" w:rsidRDefault="00D87C86" w:rsidP="00D87C86">
      <w:pPr>
        <w:jc w:val="center"/>
      </w:pPr>
      <w:r w:rsidRPr="00954B19">
        <w:rPr>
          <w:noProof/>
          <w:bdr w:val="single" w:sz="4" w:space="0" w:color="auto"/>
        </w:rPr>
        <w:drawing>
          <wp:inline distT="0" distB="0" distL="0" distR="0" wp14:anchorId="236CF578" wp14:editId="3CE784ED">
            <wp:extent cx="4330800" cy="2700000"/>
            <wp:effectExtent l="0" t="0" r="0" b="5715"/>
            <wp:docPr id="162050665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506657" name="Immagine 162050665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8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3D06E" w14:textId="011FC344" w:rsidR="00D87C86" w:rsidRDefault="00D87C86" w:rsidP="00EB637D">
      <w:pPr>
        <w:spacing w:after="0"/>
      </w:pPr>
      <w:r>
        <w:t xml:space="preserve">Spagna: </w:t>
      </w:r>
      <w:r w:rsidR="00EB637D">
        <w:tab/>
      </w:r>
      <w:r>
        <w:t>71.30</w:t>
      </w:r>
    </w:p>
    <w:p w14:paraId="4CC89591" w14:textId="3A92BD34" w:rsidR="00EB637D" w:rsidRDefault="00EB637D" w:rsidP="00EB637D">
      <w:pPr>
        <w:spacing w:after="0"/>
      </w:pPr>
      <w:r>
        <w:t xml:space="preserve">Francia: </w:t>
      </w:r>
      <w:r>
        <w:tab/>
        <w:t>79.58</w:t>
      </w:r>
    </w:p>
    <w:p w14:paraId="7DF065FB" w14:textId="3F814813" w:rsidR="00EB637D" w:rsidRDefault="00EB637D" w:rsidP="00EB637D">
      <w:pPr>
        <w:spacing w:after="0"/>
      </w:pPr>
      <w:r>
        <w:t xml:space="preserve">Belgio: </w:t>
      </w:r>
      <w:r>
        <w:tab/>
        <w:t xml:space="preserve">            116.65</w:t>
      </w:r>
    </w:p>
    <w:p w14:paraId="02D56C93" w14:textId="5057E3C9" w:rsidR="00EB637D" w:rsidRDefault="00EB637D" w:rsidP="00EB637D">
      <w:pPr>
        <w:spacing w:after="0"/>
      </w:pPr>
      <w:r>
        <w:t xml:space="preserve">Olanda </w:t>
      </w:r>
      <w:r>
        <w:tab/>
        <w:t xml:space="preserve">           </w:t>
      </w:r>
      <w:r w:rsidR="005A2FB4">
        <w:t xml:space="preserve"> </w:t>
      </w:r>
      <w:r>
        <w:t>136.38</w:t>
      </w:r>
    </w:p>
    <w:p w14:paraId="71616093" w14:textId="56CA87FC" w:rsidR="00EB637D" w:rsidRDefault="00EB637D" w:rsidP="00EB637D">
      <w:pPr>
        <w:spacing w:after="0"/>
      </w:pPr>
      <w:proofErr w:type="gramStart"/>
      <w:r>
        <w:t xml:space="preserve">Germania:   </w:t>
      </w:r>
      <w:proofErr w:type="gramEnd"/>
      <w:r>
        <w:t xml:space="preserve">      </w:t>
      </w:r>
      <w:r w:rsidR="005A2FB4">
        <w:t xml:space="preserve"> </w:t>
      </w:r>
      <w:r>
        <w:t>97.89</w:t>
      </w:r>
    </w:p>
    <w:p w14:paraId="42F7B735" w14:textId="32CFB2F4" w:rsidR="00EB637D" w:rsidRDefault="00EB637D" w:rsidP="00EB637D">
      <w:pPr>
        <w:spacing w:after="0"/>
      </w:pPr>
      <w:proofErr w:type="gramStart"/>
      <w:r>
        <w:t xml:space="preserve">Danimarca:   </w:t>
      </w:r>
      <w:proofErr w:type="gramEnd"/>
      <w:r>
        <w:t xml:space="preserve">    </w:t>
      </w:r>
      <w:r w:rsidR="005A2FB4">
        <w:t xml:space="preserve"> </w:t>
      </w:r>
      <w:r>
        <w:t>91.61</w:t>
      </w:r>
    </w:p>
    <w:p w14:paraId="7AE5EA2C" w14:textId="77777777" w:rsidR="00805716" w:rsidRDefault="00805716" w:rsidP="00EB637D">
      <w:pPr>
        <w:spacing w:after="0"/>
      </w:pPr>
    </w:p>
    <w:p w14:paraId="08C23405" w14:textId="330E7FDC" w:rsidR="00805716" w:rsidRDefault="00805716" w:rsidP="00EB637D">
      <w:pPr>
        <w:spacing w:after="0"/>
      </w:pPr>
      <w:r>
        <w:t>La tabella del volo Barcellona-Copenhagen andrà</w:t>
      </w:r>
      <w:r w:rsidR="003752CB">
        <w:t xml:space="preserve"> pertanto</w:t>
      </w:r>
      <w:r>
        <w:t xml:space="preserve"> aggiornata come segue:</w:t>
      </w:r>
    </w:p>
    <w:p w14:paraId="40ADF1F1" w14:textId="77777777" w:rsidR="00EB637D" w:rsidRDefault="00EB637D" w:rsidP="00EB637D">
      <w:pPr>
        <w:spacing w:after="0"/>
      </w:pPr>
    </w:p>
    <w:p w14:paraId="448FF0AC" w14:textId="1ED656FC" w:rsidR="00EB637D" w:rsidRDefault="00EB637D" w:rsidP="005A2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</w:pPr>
      <w:r>
        <w:t>Spagna</w:t>
      </w:r>
      <w:r>
        <w:tab/>
      </w:r>
      <w:r>
        <w:tab/>
        <w:t>1.15x1.24x71.30</w:t>
      </w:r>
      <w:r>
        <w:tab/>
        <w:t>=</w:t>
      </w:r>
      <w:r>
        <w:tab/>
        <w:t>101.67</w:t>
      </w:r>
    </w:p>
    <w:p w14:paraId="1B74EF15" w14:textId="409FCC04" w:rsidR="00EB637D" w:rsidRDefault="00EB637D" w:rsidP="005A2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</w:pPr>
      <w:r>
        <w:t>Francia</w:t>
      </w:r>
      <w:r>
        <w:tab/>
      </w:r>
      <w:r>
        <w:tab/>
        <w:t>9.05x 1.24x79.58</w:t>
      </w:r>
      <w:r>
        <w:tab/>
        <w:t>=</w:t>
      </w:r>
      <w:r>
        <w:tab/>
        <w:t>859.38</w:t>
      </w:r>
    </w:p>
    <w:p w14:paraId="587C294A" w14:textId="6322AC28" w:rsidR="00EB637D" w:rsidRDefault="005153DA" w:rsidP="005A2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</w:pPr>
      <w:r>
        <w:t>Belgio</w:t>
      </w:r>
      <w:r>
        <w:tab/>
      </w:r>
      <w:r>
        <w:tab/>
        <w:t>0.87x1.24x116.65</w:t>
      </w:r>
      <w:r>
        <w:tab/>
        <w:t>=</w:t>
      </w:r>
      <w:r>
        <w:tab/>
        <w:t>125.84</w:t>
      </w:r>
    </w:p>
    <w:p w14:paraId="488EABC2" w14:textId="77777777" w:rsidR="005153DA" w:rsidRDefault="005153DA" w:rsidP="005A2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</w:pPr>
      <w:r>
        <w:t>Olanda</w:t>
      </w:r>
      <w:r>
        <w:tab/>
      </w:r>
      <w:r>
        <w:tab/>
        <w:t>3.22x1.24x136.38</w:t>
      </w:r>
      <w:r>
        <w:tab/>
        <w:t>=</w:t>
      </w:r>
      <w:r>
        <w:tab/>
        <w:t>544.53</w:t>
      </w:r>
    </w:p>
    <w:p w14:paraId="1B8D6164" w14:textId="77777777" w:rsidR="005153DA" w:rsidRDefault="005153DA" w:rsidP="005A2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</w:pPr>
      <w:r>
        <w:t>Germania</w:t>
      </w:r>
      <w:r>
        <w:tab/>
        <w:t>2.19x1.24x97.89</w:t>
      </w:r>
      <w:r>
        <w:tab/>
        <w:t>=</w:t>
      </w:r>
      <w:r>
        <w:tab/>
        <w:t>265.83</w:t>
      </w:r>
    </w:p>
    <w:p w14:paraId="0BCC84A4" w14:textId="77777777" w:rsidR="005153DA" w:rsidRPr="003752CB" w:rsidRDefault="005153DA" w:rsidP="005A2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</w:pPr>
      <w:r w:rsidRPr="003752CB">
        <w:t>Danimarca</w:t>
      </w:r>
      <w:r w:rsidRPr="003752CB">
        <w:tab/>
        <w:t>2.14x1.24x91.61</w:t>
      </w:r>
      <w:r w:rsidRPr="003752CB">
        <w:tab/>
        <w:t>=</w:t>
      </w:r>
      <w:r w:rsidRPr="003752CB">
        <w:tab/>
        <w:t>243.09</w:t>
      </w:r>
    </w:p>
    <w:p w14:paraId="0166649C" w14:textId="69B6325D" w:rsidR="005153DA" w:rsidRPr="003752CB" w:rsidRDefault="005153DA" w:rsidP="005A2F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b/>
          <w:bCs/>
          <w:i/>
          <w:iCs/>
        </w:rPr>
      </w:pPr>
      <w:r w:rsidRPr="003752CB">
        <w:rPr>
          <w:b/>
          <w:bCs/>
          <w:i/>
          <w:iCs/>
        </w:rPr>
        <w:t>Total charge</w:t>
      </w:r>
      <w:r w:rsidRPr="003752CB">
        <w:rPr>
          <w:b/>
          <w:bCs/>
          <w:i/>
          <w:iCs/>
        </w:rPr>
        <w:tab/>
      </w:r>
      <w:r w:rsidRPr="003752CB">
        <w:rPr>
          <w:b/>
          <w:bCs/>
          <w:i/>
          <w:iCs/>
        </w:rPr>
        <w:tab/>
      </w:r>
      <w:r w:rsidRPr="003752CB">
        <w:rPr>
          <w:b/>
          <w:bCs/>
          <w:i/>
          <w:iCs/>
        </w:rPr>
        <w:tab/>
      </w:r>
      <w:r w:rsidRPr="003752CB">
        <w:rPr>
          <w:b/>
          <w:bCs/>
          <w:i/>
          <w:iCs/>
        </w:rPr>
        <w:tab/>
      </w:r>
      <w:r w:rsidRPr="003752CB">
        <w:rPr>
          <w:b/>
          <w:bCs/>
          <w:i/>
          <w:iCs/>
        </w:rPr>
        <w:tab/>
        <w:t>2140.35</w:t>
      </w:r>
    </w:p>
    <w:p w14:paraId="35A7B1D1" w14:textId="77777777" w:rsidR="00EB637D" w:rsidRPr="003752CB" w:rsidRDefault="00EB637D" w:rsidP="00EB637D">
      <w:pPr>
        <w:spacing w:after="0"/>
      </w:pPr>
    </w:p>
    <w:p w14:paraId="4DD050E9" w14:textId="776F4C20" w:rsidR="0044743E" w:rsidRPr="00940A5A" w:rsidRDefault="006F0E60" w:rsidP="0038406B">
      <w:pPr>
        <w:rPr>
          <w:color w:val="EE0000"/>
          <w:sz w:val="16"/>
          <w:szCs w:val="16"/>
        </w:rPr>
      </w:pPr>
      <w:r>
        <w:t>Ciò significa che</w:t>
      </w:r>
      <w:r w:rsidR="00D30285">
        <w:t xml:space="preserve"> in meno di due anni (DIC24:OTT26) </w:t>
      </w:r>
      <w:r w:rsidR="00FC3ABC">
        <w:t>il costo per operare questa rotta è aumentato d</w:t>
      </w:r>
      <w:r>
        <w:t>el</w:t>
      </w:r>
      <w:r w:rsidR="00FC3ABC">
        <w:t xml:space="preserve"> 20 per cento e sarà bene ricordare che stiamo solo parlando di una tassa </w:t>
      </w:r>
      <w:r w:rsidR="00123A76">
        <w:t>pressoché</w:t>
      </w:r>
      <w:r w:rsidR="00FC3ABC">
        <w:t xml:space="preserve"> sconosciuta all’utenza del mezzo aereo. </w:t>
      </w:r>
      <w:r w:rsidR="0044743E">
        <w:t xml:space="preserve">A prima vista una tale somma potrebbe apparire marginale, ma è un errore considerarla tale. </w:t>
      </w:r>
      <w:r w:rsidR="003752CB">
        <w:t>U</w:t>
      </w:r>
      <w:r w:rsidR="0044743E">
        <w:t>no sguardo al bilancio di Ryanair lo dimostra: la voce “Route charges” copre il 10 per cento del totale spese</w:t>
      </w:r>
      <w:r w:rsidR="003752CB">
        <w:t xml:space="preserve"> della compagnia irlandese</w:t>
      </w:r>
      <w:r w:rsidR="0044743E">
        <w:t xml:space="preserve">. </w:t>
      </w:r>
      <w:r w:rsidR="0044743E" w:rsidRPr="0044743E">
        <w:rPr>
          <w:color w:val="EE0000"/>
          <w:sz w:val="16"/>
          <w:szCs w:val="16"/>
        </w:rPr>
        <w:t>(5)</w:t>
      </w:r>
      <w:r w:rsidR="00940A5A">
        <w:rPr>
          <w:color w:val="EE0000"/>
          <w:sz w:val="16"/>
          <w:szCs w:val="16"/>
        </w:rPr>
        <w:t xml:space="preserve"> </w:t>
      </w:r>
      <w:r w:rsidR="00940A5A" w:rsidRPr="00940A5A">
        <w:t xml:space="preserve">Da parte sua Eurocontrol ha comunicato che nel 2025 sono stati incassati 13.2 miliardi di euro </w:t>
      </w:r>
      <w:r w:rsidR="003752CB">
        <w:t xml:space="preserve">di tasse di </w:t>
      </w:r>
      <w:proofErr w:type="gramStart"/>
      <w:r w:rsidR="003752CB">
        <w:t>rotta.</w:t>
      </w:r>
      <w:r w:rsidR="00940A5A" w:rsidRPr="00940A5A">
        <w:rPr>
          <w:color w:val="EE0000"/>
          <w:sz w:val="16"/>
          <w:szCs w:val="16"/>
        </w:rPr>
        <w:t>(</w:t>
      </w:r>
      <w:proofErr w:type="gramEnd"/>
      <w:r w:rsidR="00940A5A" w:rsidRPr="00940A5A">
        <w:rPr>
          <w:color w:val="EE0000"/>
          <w:sz w:val="16"/>
          <w:szCs w:val="16"/>
        </w:rPr>
        <w:t>6)</w:t>
      </w:r>
    </w:p>
    <w:p w14:paraId="25A774E0" w14:textId="28F6D0FA" w:rsidR="00940A5A" w:rsidRDefault="00940A5A" w:rsidP="0038406B">
      <w:r>
        <w:t xml:space="preserve">La formula di Eurocontrol quando venne introdotta sollevò molte polemiche </w:t>
      </w:r>
      <w:r w:rsidR="00123A76">
        <w:t>soprattutto</w:t>
      </w:r>
      <w:r>
        <w:t xml:space="preserve"> per il particolare del CUT e della “facilità” con cui esso poteva essere oggetto di </w:t>
      </w:r>
      <w:r w:rsidR="003752CB">
        <w:t>arbitrari</w:t>
      </w:r>
      <w:r>
        <w:t xml:space="preserve"> aumenti. </w:t>
      </w:r>
    </w:p>
    <w:p w14:paraId="48805FF3" w14:textId="68A9C659" w:rsidR="0044743E" w:rsidRPr="00886998" w:rsidRDefault="00940A5A" w:rsidP="0038406B">
      <w:pPr>
        <w:rPr>
          <w:color w:val="EE0000"/>
          <w:sz w:val="16"/>
          <w:szCs w:val="16"/>
        </w:rPr>
      </w:pPr>
      <w:r>
        <w:t xml:space="preserve">A questo punto crediamo opportuno mostravi la tabella dei CUT attualmente </w:t>
      </w:r>
      <w:r w:rsidR="0044743E">
        <w:t xml:space="preserve"> </w:t>
      </w:r>
      <w:r>
        <w:t xml:space="preserve"> in vigore.</w:t>
      </w:r>
      <w:r w:rsidR="00886998">
        <w:t xml:space="preserve"> </w:t>
      </w:r>
      <w:r w:rsidR="00886998" w:rsidRPr="00886998">
        <w:rPr>
          <w:color w:val="EE0000"/>
          <w:sz w:val="16"/>
          <w:szCs w:val="16"/>
        </w:rPr>
        <w:t>(7)</w:t>
      </w:r>
    </w:p>
    <w:p w14:paraId="61A1893A" w14:textId="47A2D6EA" w:rsidR="00940A5A" w:rsidRDefault="00B07133" w:rsidP="00B07133">
      <w:pPr>
        <w:jc w:val="center"/>
      </w:pPr>
      <w:r w:rsidRPr="00B07133">
        <w:rPr>
          <w:noProof/>
          <w:bdr w:val="single" w:sz="12" w:space="0" w:color="auto"/>
        </w:rPr>
        <w:lastRenderedPageBreak/>
        <w:drawing>
          <wp:inline distT="0" distB="0" distL="0" distR="0" wp14:anchorId="4D1BAD31" wp14:editId="53A58A37">
            <wp:extent cx="4694400" cy="5094000"/>
            <wp:effectExtent l="0" t="0" r="0" b="0"/>
            <wp:docPr id="1724823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82301" name="Immagine 17248230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4400" cy="50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7B346" w14:textId="53AA3C15" w:rsidR="00954B19" w:rsidRDefault="00886998" w:rsidP="0038406B">
      <w:r>
        <w:t>Da notare che quando per l’aviazione commerciale il CUT aumenta</w:t>
      </w:r>
      <w:r w:rsidR="00954B19">
        <w:t>,</w:t>
      </w:r>
      <w:r>
        <w:t xml:space="preserve"> è come se aumentasse il pedaggio autostradale per gli automobilisti, però a differenza di quest’ultimo</w:t>
      </w:r>
      <w:r w:rsidR="00954B19">
        <w:t xml:space="preserve"> aumento</w:t>
      </w:r>
      <w:r>
        <w:t xml:space="preserve"> che viene portato all’attenzione dell’opinione pubblica, i CUT aumentano “in silenzio”, salvo poi leggere sui media che</w:t>
      </w:r>
      <w:r w:rsidR="00954B19">
        <w:t xml:space="preserve"> i passeggeri si lamentano perché </w:t>
      </w:r>
      <w:proofErr w:type="gramStart"/>
      <w:r w:rsidR="00954B19">
        <w:t>le  compagnie</w:t>
      </w:r>
      <w:proofErr w:type="gramEnd"/>
      <w:r w:rsidR="00954B19">
        <w:t xml:space="preserve"> aeree aumentano sempre le tariffe.</w:t>
      </w:r>
    </w:p>
    <w:p w14:paraId="03B23AD2" w14:textId="768EE04B" w:rsidR="00B94256" w:rsidRDefault="003752CB" w:rsidP="0038406B">
      <w:r>
        <w:t>Dunque in Europa</w:t>
      </w:r>
      <w:r w:rsidR="00954B19">
        <w:t>,</w:t>
      </w:r>
      <w:r>
        <w:t xml:space="preserve"> e comunque nei </w:t>
      </w:r>
      <w:proofErr w:type="gramStart"/>
      <w:r>
        <w:t>paesi  che</w:t>
      </w:r>
      <w:proofErr w:type="gramEnd"/>
      <w:r>
        <w:t xml:space="preserve"> hanno adottato la medesima formula</w:t>
      </w:r>
      <w:r w:rsidR="00954B19">
        <w:t>,</w:t>
      </w:r>
      <w:r>
        <w:t xml:space="preserve"> </w:t>
      </w:r>
      <w:r w:rsidR="00886998">
        <w:t>la situazione è questa che vi abbiamo illustrato,</w:t>
      </w:r>
      <w:r>
        <w:t xml:space="preserve"> ma volendo ad esempio fare il confronto con gli Stati Uniti cosa troviamo?</w:t>
      </w:r>
    </w:p>
    <w:p w14:paraId="0C8FD32B" w14:textId="7986170A" w:rsidR="00B94256" w:rsidRPr="003752CB" w:rsidRDefault="003752CB" w:rsidP="00B94256">
      <w:r>
        <w:t>Ebbene, n</w:t>
      </w:r>
      <w:r w:rsidR="00B94256" w:rsidRPr="00B94256">
        <w:t xml:space="preserve">egli </w:t>
      </w:r>
      <w:r>
        <w:t>Usa</w:t>
      </w:r>
      <w:r w:rsidR="00B94256" w:rsidRPr="00B94256">
        <w:t xml:space="preserve">, la Federal Aviation Administration (FAA) adotta un approccio radicalmente diverso da quello europeo: </w:t>
      </w:r>
      <w:r w:rsidR="00B94256" w:rsidRPr="003752CB">
        <w:t>la formula della FAA non considera il peso dell'aeromobile, ma si basa esclusivamente su una tariffa fissa calcolata sulla distanza percorsa espressa in miglia nautiche</w:t>
      </w:r>
      <w:r>
        <w:t>.</w:t>
      </w:r>
      <w:r w:rsidR="00B94256" w:rsidRPr="003752C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  <w:r w:rsidRPr="003752C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</w:t>
      </w:r>
      <w:r w:rsidR="00B94256" w:rsidRPr="003752CB">
        <w:t xml:space="preserve">l sistema statunitense </w:t>
      </w:r>
      <w:r>
        <w:t xml:space="preserve">è </w:t>
      </w:r>
      <w:r w:rsidR="00B94256" w:rsidRPr="003752CB">
        <w:t xml:space="preserve">disciplinato dalla norma 14 CFR § 187.53 </w:t>
      </w:r>
      <w:r>
        <w:t xml:space="preserve">la quale </w:t>
      </w:r>
      <w:r w:rsidR="00B94256" w:rsidRPr="003752CB">
        <w:t>suddivide lo spazio aereo in due sole macro-categorie tariffarie indipendenti dal tipo di velivolo:</w:t>
      </w:r>
    </w:p>
    <w:p w14:paraId="04A4D0AC" w14:textId="77777777" w:rsidR="00B94256" w:rsidRPr="00B94256" w:rsidRDefault="00B94256" w:rsidP="00B94256">
      <w:pPr>
        <w:numPr>
          <w:ilvl w:val="0"/>
          <w:numId w:val="1"/>
        </w:numPr>
      </w:pPr>
      <w:r w:rsidRPr="00B94256">
        <w:rPr>
          <w:b/>
          <w:bCs/>
        </w:rPr>
        <w:t>Enroute Rate (Spazio aereo continentale):</w:t>
      </w:r>
      <w:r w:rsidRPr="00B94256">
        <w:t xml:space="preserve"> Una tariffa fissa ogni 100 miglia nautiche (NM) per i segmenti sorvolati sopra la terraferma.</w:t>
      </w:r>
    </w:p>
    <w:p w14:paraId="1D7746EE" w14:textId="2218D69E" w:rsidR="00B94256" w:rsidRPr="00455D58" w:rsidRDefault="00B94256" w:rsidP="00B94256">
      <w:pPr>
        <w:numPr>
          <w:ilvl w:val="0"/>
          <w:numId w:val="1"/>
        </w:numPr>
      </w:pPr>
      <w:r w:rsidRPr="00B94256">
        <w:rPr>
          <w:b/>
          <w:bCs/>
        </w:rPr>
        <w:t>Oceanic Rate (Spazio aereo oceanico):</w:t>
      </w:r>
      <w:r w:rsidRPr="00B94256">
        <w:t xml:space="preserve"> Una tariffa fissa sensibilmente più bassa ogni 100 NM per il transito nelle regioni oceaniche controllate dagli USA (es. ampie porzioni dell'Atlantico o del Pacifico). </w:t>
      </w:r>
    </w:p>
    <w:p w14:paraId="03E8DB14" w14:textId="79BCABA9" w:rsidR="00B94256" w:rsidRPr="00B94256" w:rsidRDefault="00455D58" w:rsidP="00B94256">
      <w:r>
        <w:t>Ma o</w:t>
      </w:r>
      <w:r w:rsidR="00B94256" w:rsidRPr="00B94256">
        <w:t>ltre alla</w:t>
      </w:r>
      <w:r>
        <w:t xml:space="preserve"> differente</w:t>
      </w:r>
      <w:r w:rsidR="00B94256" w:rsidRPr="00B94256">
        <w:t xml:space="preserve"> formula</w:t>
      </w:r>
      <w:r>
        <w:t>zione</w:t>
      </w:r>
      <w:r w:rsidR="00B94256" w:rsidRPr="00B94256">
        <w:t>, la differenza principale risiede nell'applicazione dei costi</w:t>
      </w:r>
      <w:r w:rsidR="00886998">
        <w:t>, infatti mentre</w:t>
      </w:r>
      <w:r w:rsidR="00B94256" w:rsidRPr="00B94256">
        <w:t xml:space="preserve"> </w:t>
      </w:r>
    </w:p>
    <w:p w14:paraId="17292DBD" w14:textId="592C9257" w:rsidR="00B94256" w:rsidRPr="00B94256" w:rsidRDefault="00B94256" w:rsidP="00886998">
      <w:pPr>
        <w:ind w:left="720"/>
      </w:pPr>
      <w:r w:rsidRPr="00B94256">
        <w:rPr>
          <w:b/>
          <w:bCs/>
        </w:rPr>
        <w:lastRenderedPageBreak/>
        <w:t>In Europa:</w:t>
      </w:r>
      <w:r w:rsidRPr="00B94256">
        <w:t xml:space="preserve"> Tutti i voli (nazionali, internazionali, passeggeri o cargo) pagano le tariffe di rotta per ogni singolo volo in base allo spazio aereo attraversato. </w:t>
      </w:r>
    </w:p>
    <w:p w14:paraId="21CC6A3A" w14:textId="01145DDE" w:rsidR="00B94256" w:rsidRPr="00B94256" w:rsidRDefault="00B94256" w:rsidP="00886998">
      <w:pPr>
        <w:ind w:left="720"/>
      </w:pPr>
      <w:r w:rsidRPr="00B94256">
        <w:rPr>
          <w:b/>
          <w:bCs/>
        </w:rPr>
        <w:t>Negli Stati Uniti:</w:t>
      </w:r>
      <w:r w:rsidRPr="00B94256">
        <w:t xml:space="preserve"> </w:t>
      </w:r>
      <w:r w:rsidRPr="00455D58">
        <w:t xml:space="preserve">Le "Overflight Fees" vengono addebitate </w:t>
      </w:r>
      <w:r w:rsidRPr="00455D58">
        <w:rPr>
          <w:u w:val="single"/>
        </w:rPr>
        <w:t>esclusivamente agli aerei che attraversano lo spazio aereo statunitense senza decollare né atterrare nel paese</w:t>
      </w:r>
      <w:r w:rsidRPr="00B94256">
        <w:t xml:space="preserve"> (voli di </w:t>
      </w:r>
      <w:r w:rsidR="00886998">
        <w:t>solo</w:t>
      </w:r>
      <w:r w:rsidRPr="00B94256">
        <w:t xml:space="preserve"> transito). Il normale traffico interno e i voli che </w:t>
      </w:r>
      <w:r w:rsidR="00455D58">
        <w:t>atterrano</w:t>
      </w:r>
      <w:r w:rsidRPr="00B94256">
        <w:t xml:space="preserve"> negli USA </w:t>
      </w:r>
      <w:r w:rsidRPr="001F10C6">
        <w:rPr>
          <w:u w:val="single"/>
        </w:rPr>
        <w:t>non pagano</w:t>
      </w:r>
      <w:r w:rsidRPr="00B94256">
        <w:t xml:space="preserve"> tariffe di rotta, </w:t>
      </w:r>
      <w:r w:rsidR="00455D58">
        <w:t>dal momento che</w:t>
      </w:r>
      <w:r w:rsidRPr="00B94256">
        <w:t xml:space="preserve"> il sistema di controllo del traffico aereo americano viene finanziato principalmente tramite le tasse sui biglietti passeggeri, le accise sul carburante avio e i fondi governativi. </w:t>
      </w:r>
      <w:r w:rsidR="001F10C6">
        <w:t xml:space="preserve"> Riepiloghiamo le principali differenze fra i due sistemi nel sottostante riquadro.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2"/>
        <w:gridCol w:w="4092"/>
        <w:gridCol w:w="3774"/>
      </w:tblGrid>
      <w:tr w:rsidR="00B94256" w:rsidRPr="00B94256" w14:paraId="05A1AC2D" w14:textId="77777777" w:rsidTr="00886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FB327C" w14:textId="77777777" w:rsidR="00B94256" w:rsidRPr="00061E50" w:rsidRDefault="00B94256" w:rsidP="00B942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61E50">
              <w:rPr>
                <w:b/>
                <w:bCs/>
                <w:i/>
                <w:iCs/>
                <w:sz w:val="20"/>
                <w:szCs w:val="20"/>
              </w:rPr>
              <w:t>Caratteristica</w:t>
            </w:r>
          </w:p>
        </w:tc>
        <w:tc>
          <w:tcPr>
            <w:tcW w:w="0" w:type="auto"/>
            <w:vAlign w:val="center"/>
            <w:hideMark/>
          </w:tcPr>
          <w:p w14:paraId="11CCAA92" w14:textId="77777777" w:rsidR="00B94256" w:rsidRPr="00061E50" w:rsidRDefault="00B94256" w:rsidP="00B942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61E50">
              <w:rPr>
                <w:b/>
                <w:bCs/>
                <w:i/>
                <w:iCs/>
                <w:sz w:val="20"/>
                <w:szCs w:val="20"/>
              </w:rPr>
              <w:t>Modello Europeo (EUROCONTROL)</w:t>
            </w:r>
          </w:p>
        </w:tc>
        <w:tc>
          <w:tcPr>
            <w:tcW w:w="0" w:type="auto"/>
            <w:vAlign w:val="center"/>
            <w:hideMark/>
          </w:tcPr>
          <w:p w14:paraId="73B86FB0" w14:textId="77777777" w:rsidR="00B94256" w:rsidRPr="00061E50" w:rsidRDefault="00B94256" w:rsidP="00B94256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61E50">
              <w:rPr>
                <w:b/>
                <w:bCs/>
                <w:i/>
                <w:iCs/>
                <w:sz w:val="20"/>
                <w:szCs w:val="20"/>
              </w:rPr>
              <w:t>Modello Statunitense (FAA)</w:t>
            </w:r>
          </w:p>
        </w:tc>
      </w:tr>
      <w:tr w:rsidR="00B94256" w:rsidRPr="00B94256" w14:paraId="3D156E41" w14:textId="77777777" w:rsidTr="00886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56E9EE" w14:textId="77777777" w:rsidR="00B94256" w:rsidRPr="00B94256" w:rsidRDefault="00B94256" w:rsidP="00B94256">
            <w:r w:rsidRPr="00B94256">
              <w:rPr>
                <w:b/>
                <w:bCs/>
              </w:rPr>
              <w:t>Elementi di calcolo</w:t>
            </w:r>
          </w:p>
        </w:tc>
        <w:tc>
          <w:tcPr>
            <w:tcW w:w="0" w:type="auto"/>
            <w:vAlign w:val="center"/>
            <w:hideMark/>
          </w:tcPr>
          <w:p w14:paraId="6F59100C" w14:textId="77777777" w:rsidR="00B94256" w:rsidRPr="00B94256" w:rsidRDefault="00B94256" w:rsidP="00B94256">
            <w:r w:rsidRPr="00B94256">
              <w:t>Distanza (km) × Radice quadrata del peso (MTOW) × Tariffa unitaria dello Stato</w:t>
            </w:r>
          </w:p>
        </w:tc>
        <w:tc>
          <w:tcPr>
            <w:tcW w:w="0" w:type="auto"/>
            <w:vAlign w:val="center"/>
            <w:hideMark/>
          </w:tcPr>
          <w:p w14:paraId="46C98C3A" w14:textId="77777777" w:rsidR="00B94256" w:rsidRPr="00B94256" w:rsidRDefault="00B94256" w:rsidP="00B94256">
            <w:r w:rsidRPr="00B94256">
              <w:t>Distanza (Miglia Nautiche) × Tariffa fissa della zona (Continentale o Oceanica)</w:t>
            </w:r>
          </w:p>
        </w:tc>
      </w:tr>
      <w:tr w:rsidR="00B94256" w:rsidRPr="00B94256" w14:paraId="4E6A63F4" w14:textId="77777777" w:rsidTr="00886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337DA4" w14:textId="77777777" w:rsidR="00B94256" w:rsidRPr="00B94256" w:rsidRDefault="00B94256" w:rsidP="00B94256">
            <w:r w:rsidRPr="00B94256">
              <w:rPr>
                <w:b/>
                <w:bCs/>
              </w:rPr>
              <w:t>Incidenza del peso</w:t>
            </w:r>
          </w:p>
        </w:tc>
        <w:tc>
          <w:tcPr>
            <w:tcW w:w="0" w:type="auto"/>
            <w:vAlign w:val="center"/>
            <w:hideMark/>
          </w:tcPr>
          <w:p w14:paraId="2467E81A" w14:textId="77777777" w:rsidR="00B94256" w:rsidRPr="00B94256" w:rsidRDefault="00B94256" w:rsidP="00B94256">
            <w:r w:rsidRPr="00B94256">
              <w:rPr>
                <w:b/>
                <w:bCs/>
              </w:rPr>
              <w:t>Sì</w:t>
            </w:r>
            <w:r w:rsidRPr="00B94256">
              <w:t>, gli aerei più pesanti pagano proporzionalmente di più</w:t>
            </w:r>
          </w:p>
        </w:tc>
        <w:tc>
          <w:tcPr>
            <w:tcW w:w="0" w:type="auto"/>
            <w:vAlign w:val="center"/>
            <w:hideMark/>
          </w:tcPr>
          <w:p w14:paraId="413FFA19" w14:textId="77777777" w:rsidR="00B94256" w:rsidRPr="00B94256" w:rsidRDefault="00B94256" w:rsidP="00B94256">
            <w:r w:rsidRPr="00B94256">
              <w:rPr>
                <w:b/>
                <w:bCs/>
              </w:rPr>
              <w:t>No</w:t>
            </w:r>
            <w:r w:rsidRPr="00B94256">
              <w:t>, un Boeing 777 e un jet privato pagano la stessa cifra a parità di rotta.</w:t>
            </w:r>
          </w:p>
        </w:tc>
      </w:tr>
      <w:tr w:rsidR="00B94256" w:rsidRPr="00B94256" w14:paraId="014C500F" w14:textId="77777777" w:rsidTr="00886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95D6F" w14:textId="77777777" w:rsidR="00B94256" w:rsidRPr="00B94256" w:rsidRDefault="00B94256" w:rsidP="00B94256">
            <w:r w:rsidRPr="00B94256">
              <w:rPr>
                <w:b/>
                <w:bCs/>
              </w:rPr>
              <w:t>Unità di distanza</w:t>
            </w:r>
          </w:p>
        </w:tc>
        <w:tc>
          <w:tcPr>
            <w:tcW w:w="0" w:type="auto"/>
            <w:vAlign w:val="center"/>
            <w:hideMark/>
          </w:tcPr>
          <w:p w14:paraId="4AD24457" w14:textId="77777777" w:rsidR="00B94256" w:rsidRPr="00B94256" w:rsidRDefault="00B94256" w:rsidP="00B94256">
            <w:r w:rsidRPr="00B94256">
              <w:t>Chilometri (km)</w:t>
            </w:r>
          </w:p>
        </w:tc>
        <w:tc>
          <w:tcPr>
            <w:tcW w:w="0" w:type="auto"/>
            <w:vAlign w:val="center"/>
            <w:hideMark/>
          </w:tcPr>
          <w:p w14:paraId="7F948F59" w14:textId="77777777" w:rsidR="00B94256" w:rsidRPr="00B94256" w:rsidRDefault="00B94256" w:rsidP="00B94256">
            <w:r w:rsidRPr="00B94256">
              <w:t>Miglia Nautiche (NM) — calcolate a blocchi di 100 NM</w:t>
            </w:r>
          </w:p>
        </w:tc>
      </w:tr>
      <w:tr w:rsidR="00B94256" w:rsidRPr="00B94256" w14:paraId="77CC1444" w14:textId="77777777" w:rsidTr="0088699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7F356" w14:textId="77777777" w:rsidR="00B94256" w:rsidRPr="00B94256" w:rsidRDefault="00B94256" w:rsidP="00B94256">
            <w:r w:rsidRPr="00B94256">
              <w:rPr>
                <w:b/>
                <w:bCs/>
              </w:rPr>
              <w:t>Applicabilità del pedaggio</w:t>
            </w:r>
          </w:p>
        </w:tc>
        <w:tc>
          <w:tcPr>
            <w:tcW w:w="0" w:type="auto"/>
            <w:vAlign w:val="center"/>
            <w:hideMark/>
          </w:tcPr>
          <w:p w14:paraId="312F2AAC" w14:textId="77777777" w:rsidR="00B94256" w:rsidRPr="00B94256" w:rsidRDefault="00B94256" w:rsidP="00B94256">
            <w:r w:rsidRPr="00B94256">
              <w:t xml:space="preserve">Applicato a </w:t>
            </w:r>
            <w:r w:rsidRPr="00B94256">
              <w:rPr>
                <w:b/>
                <w:bCs/>
              </w:rPr>
              <w:t>tutti i voli</w:t>
            </w:r>
            <w:r w:rsidRPr="00B94256">
              <w:t xml:space="preserve"> commerciali in rotta</w:t>
            </w:r>
          </w:p>
        </w:tc>
        <w:tc>
          <w:tcPr>
            <w:tcW w:w="0" w:type="auto"/>
            <w:vAlign w:val="center"/>
            <w:hideMark/>
          </w:tcPr>
          <w:p w14:paraId="7984D429" w14:textId="77777777" w:rsidR="00B94256" w:rsidRPr="00B94256" w:rsidRDefault="00B94256" w:rsidP="00B94256">
            <w:r w:rsidRPr="00B94256">
              <w:t xml:space="preserve">Applicato </w:t>
            </w:r>
            <w:r w:rsidRPr="00B94256">
              <w:rPr>
                <w:b/>
                <w:bCs/>
              </w:rPr>
              <w:t>solo ai voli di transito</w:t>
            </w:r>
            <w:r w:rsidRPr="00B94256">
              <w:t xml:space="preserve"> che non atterrano né decollano negli USA.</w:t>
            </w:r>
          </w:p>
        </w:tc>
      </w:tr>
    </w:tbl>
    <w:p w14:paraId="1E0DE974" w14:textId="77777777" w:rsidR="00886998" w:rsidRDefault="00886998" w:rsidP="00B94256"/>
    <w:p w14:paraId="1313A30B" w14:textId="6FD9FB7C" w:rsidR="00B94256" w:rsidRPr="00AC3E07" w:rsidRDefault="00455D58" w:rsidP="00C02618">
      <w:r w:rsidRPr="00C02618">
        <w:t>Attualmente g</w:t>
      </w:r>
      <w:r w:rsidR="00B94256" w:rsidRPr="00C02618">
        <w:t>li importi standard in vigore, calcolati in base alla Great Circle Distance (GCD) per blocchi di 100 miglia nautiche (NM), sono</w:t>
      </w:r>
      <w:r w:rsidRPr="00C02618">
        <w:t xml:space="preserve"> di </w:t>
      </w:r>
      <w:r w:rsidRPr="001F10C6">
        <w:rPr>
          <w:b/>
          <w:bCs/>
        </w:rPr>
        <w:t>61,75 $</w:t>
      </w:r>
      <w:r w:rsidRPr="00C02618">
        <w:t xml:space="preserve"> ogni 100 NM, ovvero ogni 185 chilometri.</w:t>
      </w:r>
      <w:r w:rsidR="00AC3E07">
        <w:t xml:space="preserve"> </w:t>
      </w:r>
      <w:r w:rsidR="00C02618">
        <w:t>Per quanto riguarda</w:t>
      </w:r>
      <w:r w:rsidR="00AC3E07">
        <w:t xml:space="preserve"> </w:t>
      </w:r>
      <w:proofErr w:type="gramStart"/>
      <w:r w:rsidR="00AC3E07">
        <w:t xml:space="preserve">invece </w:t>
      </w:r>
      <w:r w:rsidR="00C02618">
        <w:t xml:space="preserve"> lo</w:t>
      </w:r>
      <w:proofErr w:type="gramEnd"/>
      <w:r w:rsidR="00C02618">
        <w:t xml:space="preserve"> spazio aereo oceanico l’attuale tariffa è di dollari 26,51 </w:t>
      </w:r>
      <w:r w:rsidR="00B94256" w:rsidRPr="00B94256">
        <w:t xml:space="preserve">ogni 100 NM. </w:t>
      </w:r>
      <w:r w:rsidR="004E1CBC" w:rsidRPr="004E1CBC">
        <w:rPr>
          <w:color w:val="EE0000"/>
          <w:sz w:val="16"/>
          <w:szCs w:val="16"/>
        </w:rPr>
        <w:t>(8)</w:t>
      </w:r>
    </w:p>
    <w:p w14:paraId="736299C3" w14:textId="38CCE9C9" w:rsidR="00B94256" w:rsidRDefault="004E1CBC" w:rsidP="00B94256">
      <w:r>
        <w:t xml:space="preserve">Ma forse il dettaglio più importante che val la pena evidenziare è che la tariffa applicata nei cieli USA è ferma all’importo di dollari 61,75 </w:t>
      </w:r>
      <w:r w:rsidRPr="00AC3E07">
        <w:rPr>
          <w:b/>
          <w:bCs/>
          <w:u w:val="single"/>
        </w:rPr>
        <w:t>da gennaio 2019</w:t>
      </w:r>
      <w:r w:rsidRPr="004E1CBC">
        <w:rPr>
          <w:b/>
          <w:bCs/>
        </w:rPr>
        <w:t>.</w:t>
      </w:r>
    </w:p>
    <w:p w14:paraId="50A54425" w14:textId="0D5E75A2" w:rsidR="00B94256" w:rsidRDefault="00AC3E07" w:rsidP="0038406B">
      <w:r>
        <w:t>E ricordando quest’ultimo particolare crediamo di aver ben reso l’idea che abbiamo sui CUT vigenti in Europa.</w:t>
      </w:r>
    </w:p>
    <w:p w14:paraId="5908292C" w14:textId="75AF73E2" w:rsidR="00B94256" w:rsidRDefault="00B94256" w:rsidP="0038406B"/>
    <w:p w14:paraId="5CBA7FC4" w14:textId="77777777" w:rsidR="00B94256" w:rsidRDefault="00B94256" w:rsidP="0038406B"/>
    <w:p w14:paraId="4C0C9DE6" w14:textId="77777777" w:rsidR="001B2DB5" w:rsidRDefault="001B2DB5" w:rsidP="0038406B"/>
    <w:p w14:paraId="29D229FC" w14:textId="77777777" w:rsidR="001B2DB5" w:rsidRDefault="001B2DB5" w:rsidP="0038406B"/>
    <w:p w14:paraId="150E21E6" w14:textId="77777777" w:rsidR="001B2DB5" w:rsidRDefault="001B2DB5" w:rsidP="0038406B"/>
    <w:p w14:paraId="12327F22" w14:textId="77777777" w:rsidR="001B2DB5" w:rsidRDefault="001B2DB5" w:rsidP="0038406B"/>
    <w:p w14:paraId="661FD8D8" w14:textId="77777777" w:rsidR="001B2DB5" w:rsidRDefault="001B2DB5" w:rsidP="0038406B"/>
    <w:p w14:paraId="0ACD12AF" w14:textId="77777777" w:rsidR="001B2DB5" w:rsidRDefault="001B2DB5" w:rsidP="0038406B"/>
    <w:p w14:paraId="7EDD8EB7" w14:textId="77777777" w:rsidR="00B94256" w:rsidRDefault="00B94256" w:rsidP="0038406B"/>
    <w:p w14:paraId="164760BE" w14:textId="283C0C33" w:rsidR="00B94256" w:rsidRDefault="00F8149A" w:rsidP="00DC3E46">
      <w:pPr>
        <w:pStyle w:val="Paragrafoelenco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F8149A">
        <w:rPr>
          <w:sz w:val="20"/>
          <w:szCs w:val="20"/>
        </w:rPr>
        <w:t xml:space="preserve">La collisione aerea di Nantes del </w:t>
      </w:r>
      <w:r>
        <w:rPr>
          <w:sz w:val="20"/>
          <w:szCs w:val="20"/>
        </w:rPr>
        <w:t xml:space="preserve">5 marzo </w:t>
      </w:r>
      <w:r w:rsidRPr="00F8149A">
        <w:rPr>
          <w:sz w:val="20"/>
          <w:szCs w:val="20"/>
        </w:rPr>
        <w:t xml:space="preserve">1973 avvenne quando due aerei spagnoli diretti a </w:t>
      </w:r>
      <w:hyperlink r:id="rId11" w:tooltip="London" w:history="1">
        <w:r w:rsidRPr="00F8149A">
          <w:rPr>
            <w:rStyle w:val="Collegamentoipertestuale"/>
            <w:color w:val="auto"/>
            <w:sz w:val="20"/>
            <w:szCs w:val="20"/>
            <w:u w:val="none"/>
          </w:rPr>
          <w:t>Londra</w:t>
        </w:r>
      </w:hyperlink>
      <w:r w:rsidRPr="00F8149A">
        <w:rPr>
          <w:sz w:val="20"/>
          <w:szCs w:val="20"/>
        </w:rPr>
        <w:t xml:space="preserve"> si scontrarono sopra </w:t>
      </w:r>
      <w:hyperlink r:id="rId12" w:tooltip="Nantes" w:history="1">
        <w:r w:rsidRPr="00F8149A">
          <w:rPr>
            <w:rStyle w:val="Collegamentoipertestuale"/>
            <w:color w:val="auto"/>
            <w:sz w:val="20"/>
            <w:szCs w:val="20"/>
            <w:u w:val="none"/>
          </w:rPr>
          <w:t>Nantes</w:t>
        </w:r>
      </w:hyperlink>
      <w:r w:rsidRPr="00F8149A">
        <w:rPr>
          <w:sz w:val="20"/>
          <w:szCs w:val="20"/>
        </w:rPr>
        <w:t>, Francia. Si trattava di un</w:t>
      </w:r>
      <w:r>
        <w:rPr>
          <w:sz w:val="20"/>
          <w:szCs w:val="20"/>
        </w:rPr>
        <w:t xml:space="preserve"> DC9 della compagnia</w:t>
      </w:r>
      <w:r w:rsidRPr="00F8149A">
        <w:rPr>
          <w:sz w:val="20"/>
          <w:szCs w:val="20"/>
        </w:rPr>
        <w:t xml:space="preserve"> </w:t>
      </w:r>
      <w:hyperlink r:id="rId13" w:tooltip="Iberia (airline)" w:history="1">
        <w:r w:rsidRPr="00F8149A">
          <w:rPr>
            <w:rStyle w:val="Collegamentoipertestuale"/>
            <w:color w:val="auto"/>
            <w:sz w:val="20"/>
            <w:szCs w:val="20"/>
            <w:u w:val="none"/>
          </w:rPr>
          <w:t>Iberia</w:t>
        </w:r>
      </w:hyperlink>
      <w:r w:rsidRPr="00F8149A">
        <w:rPr>
          <w:sz w:val="20"/>
          <w:szCs w:val="20"/>
        </w:rPr>
        <w:t xml:space="preserve"> </w:t>
      </w:r>
      <w:r>
        <w:rPr>
          <w:sz w:val="20"/>
          <w:szCs w:val="20"/>
        </w:rPr>
        <w:t>in v</w:t>
      </w:r>
      <w:r w:rsidRPr="00F8149A">
        <w:rPr>
          <w:sz w:val="20"/>
          <w:szCs w:val="20"/>
        </w:rPr>
        <w:t xml:space="preserve">olo da </w:t>
      </w:r>
      <w:hyperlink r:id="rId14" w:tooltip="Palma de Mallorca" w:history="1">
        <w:r w:rsidRPr="00F8149A">
          <w:rPr>
            <w:rStyle w:val="Collegamentoipertestuale"/>
            <w:color w:val="auto"/>
            <w:sz w:val="20"/>
            <w:szCs w:val="20"/>
            <w:u w:val="none"/>
          </w:rPr>
          <w:t>Palma de Maiorca</w:t>
        </w:r>
      </w:hyperlink>
      <w:r w:rsidRPr="00F8149A">
        <w:rPr>
          <w:sz w:val="20"/>
          <w:szCs w:val="20"/>
        </w:rPr>
        <w:t xml:space="preserve"> e </w:t>
      </w:r>
      <w:r w:rsidRPr="00F8149A">
        <w:rPr>
          <w:sz w:val="20"/>
          <w:szCs w:val="20"/>
        </w:rPr>
        <w:lastRenderedPageBreak/>
        <w:t xml:space="preserve">di uno </w:t>
      </w:r>
      <w:hyperlink r:id="rId15" w:tooltip="Spantax" w:history="1">
        <w:r w:rsidRPr="00F8149A">
          <w:rPr>
            <w:rStyle w:val="Collegamentoipertestuale"/>
            <w:color w:val="auto"/>
            <w:sz w:val="20"/>
            <w:szCs w:val="20"/>
            <w:u w:val="none"/>
          </w:rPr>
          <w:t>Spantax</w:t>
        </w:r>
      </w:hyperlink>
      <w:r w:rsidRPr="00F8149A">
        <w:rPr>
          <w:sz w:val="20"/>
          <w:szCs w:val="20"/>
        </w:rPr>
        <w:t xml:space="preserve"> </w:t>
      </w:r>
      <w:hyperlink r:id="rId16" w:tooltip="Convair 990" w:history="1">
        <w:r w:rsidRPr="00F8149A">
          <w:rPr>
            <w:rStyle w:val="Collegamentoipertestuale"/>
            <w:color w:val="auto"/>
            <w:sz w:val="20"/>
            <w:szCs w:val="20"/>
            <w:u w:val="none"/>
          </w:rPr>
          <w:t>Convair 990</w:t>
        </w:r>
      </w:hyperlink>
      <w:r w:rsidRPr="00F8149A">
        <w:rPr>
          <w:sz w:val="20"/>
          <w:szCs w:val="20"/>
        </w:rPr>
        <w:t xml:space="preserve"> da </w:t>
      </w:r>
      <w:hyperlink r:id="rId17" w:tooltip="Madrid" w:history="1">
        <w:r w:rsidRPr="00F8149A">
          <w:rPr>
            <w:rStyle w:val="Collegamentoipertestuale"/>
            <w:color w:val="auto"/>
            <w:sz w:val="20"/>
            <w:szCs w:val="20"/>
            <w:u w:val="none"/>
          </w:rPr>
          <w:t>Madrid</w:t>
        </w:r>
      </w:hyperlink>
      <w:r>
        <w:rPr>
          <w:sz w:val="20"/>
          <w:szCs w:val="20"/>
        </w:rPr>
        <w:t xml:space="preserve"> entrambi diretti a Londra.</w:t>
      </w:r>
      <w:r w:rsidRPr="00F8149A">
        <w:rPr>
          <w:sz w:val="20"/>
          <w:szCs w:val="20"/>
        </w:rPr>
        <w:t xml:space="preserve"> Tutte le 68 persone a bordo del DC-9 morirono. Il CV-990 riuscì a effettuare un atterraggio di emergenza a </w:t>
      </w:r>
      <w:hyperlink r:id="rId18" w:history="1">
        <w:r w:rsidRPr="00F8149A">
          <w:rPr>
            <w:rStyle w:val="Collegamentoipertestuale"/>
            <w:color w:val="auto"/>
            <w:sz w:val="20"/>
            <w:szCs w:val="20"/>
            <w:u w:val="none"/>
          </w:rPr>
          <w:t>Cognac – Châteaubernard Air Base</w:t>
        </w:r>
      </w:hyperlink>
      <w:r>
        <w:rPr>
          <w:sz w:val="20"/>
          <w:szCs w:val="20"/>
        </w:rPr>
        <w:t>.</w:t>
      </w:r>
    </w:p>
    <w:p w14:paraId="5BCC3F1F" w14:textId="52EB9A4F" w:rsidR="00F8149A" w:rsidRDefault="00DC3E46" w:rsidP="00DC3E46">
      <w:pPr>
        <w:pStyle w:val="Paragrafoelenco"/>
        <w:numPr>
          <w:ilvl w:val="0"/>
          <w:numId w:val="5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 aggiunta alle tasse di rotta, le compagnie aeree sono chiamate a pagare per ogni volo anche le tasse di terminale. </w:t>
      </w:r>
      <w:r w:rsidRPr="00DC3E46">
        <w:rPr>
          <w:sz w:val="20"/>
          <w:szCs w:val="20"/>
        </w:rPr>
        <w:t>La “zona di addebito terminale” (TCZ) e l’“addebito ANS terminale” (TNC) si riferiscono ai servizi di navigazione aerea terminali (TANS), che comprendono i servizi di controllo aeroportuale e di informazione di volo aeroportuale, i servizi di traffico aereo relativi all’avvicinamento e alla partenza degli aeromobili, nonché una quota di altri servizi di navigazione aerea attribuiti al</w:t>
      </w:r>
      <w:r>
        <w:rPr>
          <w:sz w:val="20"/>
          <w:szCs w:val="20"/>
        </w:rPr>
        <w:t>l’area</w:t>
      </w:r>
      <w:r w:rsidRPr="00DC3E46">
        <w:rPr>
          <w:sz w:val="20"/>
          <w:szCs w:val="20"/>
        </w:rPr>
        <w:t xml:space="preserve"> terminale.</w:t>
      </w:r>
    </w:p>
    <w:p w14:paraId="2887EAD1" w14:textId="32CDD1C0" w:rsidR="00D87C86" w:rsidRDefault="00650D8C" w:rsidP="001B2DB5">
      <w:pPr>
        <w:pStyle w:val="Paragrafoelenco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1F7A0F">
        <w:rPr>
          <w:sz w:val="20"/>
          <w:szCs w:val="20"/>
        </w:rPr>
        <w:t>Il fattore di distanza per zona tariffaria si ottiene dividendo per cento (100) il numero di</w:t>
      </w:r>
      <w:r w:rsidR="001B2DB5">
        <w:rPr>
          <w:sz w:val="20"/>
          <w:szCs w:val="20"/>
        </w:rPr>
        <w:t xml:space="preserve"> </w:t>
      </w:r>
      <w:r w:rsidRPr="001B2DB5">
        <w:rPr>
          <w:sz w:val="20"/>
          <w:szCs w:val="20"/>
        </w:rPr>
        <w:t>chilometri della distanza ortodromica tra l’aerodromo di partenza (o punto di ingresso nella</w:t>
      </w:r>
      <w:r w:rsidR="001B2DB5">
        <w:rPr>
          <w:sz w:val="20"/>
          <w:szCs w:val="20"/>
        </w:rPr>
        <w:t xml:space="preserve"> </w:t>
      </w:r>
      <w:r w:rsidRPr="001B2DB5">
        <w:rPr>
          <w:sz w:val="20"/>
          <w:szCs w:val="20"/>
        </w:rPr>
        <w:t>zona tariffaria) e l’aerodromo di arrivo (o punto di uscita dalla zona tariffaria). Questa operazione viene</w:t>
      </w:r>
      <w:r w:rsidR="001B2DB5">
        <w:rPr>
          <w:sz w:val="20"/>
          <w:szCs w:val="20"/>
        </w:rPr>
        <w:t xml:space="preserve"> </w:t>
      </w:r>
      <w:r w:rsidRPr="001B2DB5">
        <w:rPr>
          <w:sz w:val="20"/>
          <w:szCs w:val="20"/>
        </w:rPr>
        <w:t>ripetuta per ciascuna zona tariffaria sorvolata. Il fattore di distanza si basa sulla rotta effettivamente percorsa, come</w:t>
      </w:r>
      <w:r w:rsidR="001F7A0F" w:rsidRPr="001B2DB5">
        <w:rPr>
          <w:sz w:val="20"/>
          <w:szCs w:val="20"/>
        </w:rPr>
        <w:t xml:space="preserve"> </w:t>
      </w:r>
      <w:r w:rsidRPr="001B2DB5">
        <w:rPr>
          <w:sz w:val="20"/>
          <w:szCs w:val="20"/>
        </w:rPr>
        <w:t>registrata dal gestore della rete.</w:t>
      </w:r>
      <w:r w:rsidR="001B2DB5">
        <w:rPr>
          <w:sz w:val="20"/>
          <w:szCs w:val="20"/>
        </w:rPr>
        <w:t xml:space="preserve"> </w:t>
      </w:r>
      <w:r w:rsidRPr="001B2DB5">
        <w:rPr>
          <w:sz w:val="20"/>
          <w:szCs w:val="20"/>
        </w:rPr>
        <w:t>Per ogni decollo e per ogni atterraggio, vengono detratti 20 km dalla distanza totale all’interno della</w:t>
      </w:r>
      <w:r w:rsidR="001B2DB5">
        <w:rPr>
          <w:sz w:val="20"/>
          <w:szCs w:val="20"/>
        </w:rPr>
        <w:t xml:space="preserve"> </w:t>
      </w:r>
      <w:r w:rsidRPr="001B2DB5">
        <w:rPr>
          <w:sz w:val="20"/>
          <w:szCs w:val="20"/>
        </w:rPr>
        <w:t>o delle zone tariffarie interessate.</w:t>
      </w:r>
    </w:p>
    <w:p w14:paraId="43EEE4FA" w14:textId="378F6863" w:rsidR="00D87C86" w:rsidRDefault="00D87C86" w:rsidP="004E1CBC">
      <w:pPr>
        <w:pStyle w:val="Paragrafoelenco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E6368E">
        <w:rPr>
          <w:sz w:val="20"/>
          <w:szCs w:val="20"/>
        </w:rPr>
        <w:t>Central Route Charges Office Customer Guide to Charges, edizione Aprile 2026</w:t>
      </w:r>
      <w:r w:rsidR="00E6368E">
        <w:rPr>
          <w:sz w:val="20"/>
          <w:szCs w:val="20"/>
        </w:rPr>
        <w:t>. Pag.28</w:t>
      </w:r>
    </w:p>
    <w:p w14:paraId="0D6EE129" w14:textId="211849DC" w:rsidR="00257375" w:rsidRPr="00D50D5F" w:rsidRDefault="00257375" w:rsidP="004E1CBC">
      <w:pPr>
        <w:pStyle w:val="Paragrafoelenco"/>
        <w:numPr>
          <w:ilvl w:val="0"/>
          <w:numId w:val="5"/>
        </w:numPr>
        <w:spacing w:line="240" w:lineRule="auto"/>
        <w:rPr>
          <w:sz w:val="20"/>
          <w:szCs w:val="20"/>
        </w:rPr>
      </w:pPr>
      <w:r w:rsidRPr="00257375">
        <w:rPr>
          <w:sz w:val="20"/>
          <w:szCs w:val="20"/>
        </w:rPr>
        <w:t>Ryanair, bilancio chiuso al 31 Marzo 2026</w:t>
      </w:r>
      <w:r>
        <w:rPr>
          <w:sz w:val="20"/>
          <w:szCs w:val="20"/>
        </w:rPr>
        <w:t>.</w:t>
      </w:r>
      <w:r w:rsidRPr="00257375">
        <w:rPr>
          <w:sz w:val="20"/>
          <w:szCs w:val="20"/>
        </w:rPr>
        <w:t xml:space="preserve"> Su un totale spese di 13.085 m</w:t>
      </w:r>
      <w:r>
        <w:rPr>
          <w:sz w:val="20"/>
          <w:szCs w:val="20"/>
        </w:rPr>
        <w:t>ilioni</w:t>
      </w:r>
      <w:r w:rsidRPr="00257375">
        <w:rPr>
          <w:sz w:val="20"/>
          <w:szCs w:val="20"/>
        </w:rPr>
        <w:t xml:space="preserve">, la voce “route charges” è di </w:t>
      </w:r>
      <w:proofErr w:type="gramStart"/>
      <w:r w:rsidRPr="00257375">
        <w:rPr>
          <w:sz w:val="20"/>
          <w:szCs w:val="20"/>
        </w:rPr>
        <w:t xml:space="preserve">1318.2 </w:t>
      </w:r>
      <w:r>
        <w:rPr>
          <w:sz w:val="20"/>
          <w:szCs w:val="20"/>
        </w:rPr>
        <w:t>;</w:t>
      </w:r>
      <w:proofErr w:type="gramEnd"/>
      <w:r>
        <w:rPr>
          <w:sz w:val="20"/>
          <w:szCs w:val="20"/>
        </w:rPr>
        <w:t xml:space="preserve"> nell’esercizio precedente erano assommate a </w:t>
      </w:r>
      <w:proofErr w:type="gramStart"/>
      <w:r>
        <w:rPr>
          <w:sz w:val="20"/>
          <w:szCs w:val="20"/>
        </w:rPr>
        <w:t>1166.7</w:t>
      </w:r>
      <w:r w:rsidRPr="00257375">
        <w:rPr>
          <w:sz w:val="20"/>
          <w:szCs w:val="20"/>
        </w:rPr>
        <w:t xml:space="preserve"> </w:t>
      </w:r>
      <w:r w:rsidR="00D50D5F">
        <w:rPr>
          <w:sz w:val="20"/>
          <w:szCs w:val="20"/>
        </w:rPr>
        <w:t>;</w:t>
      </w:r>
      <w:proofErr w:type="gramEnd"/>
      <w:r w:rsidR="00D50D5F">
        <w:rPr>
          <w:sz w:val="20"/>
          <w:szCs w:val="20"/>
        </w:rPr>
        <w:t xml:space="preserve"> Pag.2 del “</w:t>
      </w:r>
      <w:r w:rsidR="00D50D5F" w:rsidRPr="00D50D5F">
        <w:rPr>
          <w:sz w:val="20"/>
          <w:szCs w:val="20"/>
        </w:rPr>
        <w:t>Condensed Consolidated Preliminary Income Statement for the Year Ended March 31, 2026 (unaudited)</w:t>
      </w:r>
      <w:r w:rsidR="00D50D5F">
        <w:rPr>
          <w:sz w:val="20"/>
          <w:szCs w:val="20"/>
        </w:rPr>
        <w:t>”</w:t>
      </w:r>
    </w:p>
    <w:p w14:paraId="515041A7" w14:textId="75A254C7" w:rsidR="00E6368E" w:rsidRDefault="00D50D5F" w:rsidP="004E1CBC">
      <w:pPr>
        <w:pStyle w:val="Paragrafoelenco"/>
        <w:numPr>
          <w:ilvl w:val="0"/>
          <w:numId w:val="5"/>
        </w:numPr>
        <w:spacing w:line="240" w:lineRule="auto"/>
        <w:rPr>
          <w:sz w:val="20"/>
          <w:szCs w:val="20"/>
        </w:rPr>
      </w:pPr>
      <w:hyperlink r:id="rId19" w:history="1">
        <w:r w:rsidRPr="00D50D5F">
          <w:rPr>
            <w:rStyle w:val="Collegamentoipertestuale"/>
            <w:sz w:val="20"/>
            <w:szCs w:val="20"/>
          </w:rPr>
          <w:t>Effective cost-recovery system | EUROCONTROL</w:t>
        </w:r>
      </w:hyperlink>
      <w:r>
        <w:rPr>
          <w:sz w:val="20"/>
          <w:szCs w:val="20"/>
        </w:rPr>
        <w:t xml:space="preserve"> visitato il 19 Ottobre 2026</w:t>
      </w:r>
    </w:p>
    <w:p w14:paraId="268C7819" w14:textId="741280C0" w:rsidR="00B07133" w:rsidRPr="004E1CBC" w:rsidRDefault="00B07133" w:rsidP="004E1CBC">
      <w:pPr>
        <w:pStyle w:val="Paragrafoelenco"/>
        <w:numPr>
          <w:ilvl w:val="0"/>
          <w:numId w:val="5"/>
        </w:numPr>
        <w:spacing w:after="0" w:line="240" w:lineRule="auto"/>
        <w:rPr>
          <w:sz w:val="20"/>
          <w:szCs w:val="20"/>
          <w:lang w:val="pt-BR"/>
        </w:rPr>
      </w:pPr>
      <w:hyperlink r:id="rId20" w:history="1">
        <w:r w:rsidRPr="00886998">
          <w:rPr>
            <w:rStyle w:val="Collegamentoipertestuale"/>
            <w:sz w:val="20"/>
            <w:szCs w:val="20"/>
            <w:lang w:val="pt-BR"/>
          </w:rPr>
          <w:t>Monthly adjusted unit rates - October 2026 | EUROCONTROL</w:t>
        </w:r>
      </w:hyperlink>
      <w:r w:rsidR="004E1CBC" w:rsidRPr="004E1CBC">
        <w:rPr>
          <w:sz w:val="20"/>
          <w:szCs w:val="20"/>
          <w:lang w:val="pt-BR"/>
        </w:rPr>
        <w:t xml:space="preserve"> </w:t>
      </w:r>
    </w:p>
    <w:p w14:paraId="5D64836B" w14:textId="4C02F7D0" w:rsidR="004E1CBC" w:rsidRPr="004E1CBC" w:rsidRDefault="001F10C6" w:rsidP="004E1CBC">
      <w:pPr>
        <w:numPr>
          <w:ilvl w:val="0"/>
          <w:numId w:val="5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Va anche ricordato che l</w:t>
      </w:r>
      <w:r w:rsidR="004E1CBC" w:rsidRPr="004E1CBC">
        <w:rPr>
          <w:sz w:val="20"/>
          <w:szCs w:val="20"/>
        </w:rPr>
        <w:t>a FAA emette una fattura mensile solo se l'importo totale accumulato dall'operatore o dal proprietario dell'aeromobile è pari o superiore a 400</w:t>
      </w:r>
      <w:r>
        <w:rPr>
          <w:sz w:val="20"/>
          <w:szCs w:val="20"/>
        </w:rPr>
        <w:t xml:space="preserve"> dollari</w:t>
      </w:r>
      <w:r w:rsidR="004E1CBC" w:rsidRPr="004E1CBC">
        <w:rPr>
          <w:sz w:val="20"/>
          <w:szCs w:val="20"/>
        </w:rPr>
        <w:t>.</w:t>
      </w:r>
    </w:p>
    <w:p w14:paraId="14A01C25" w14:textId="77777777" w:rsidR="004E1CBC" w:rsidRDefault="004E1CBC" w:rsidP="004E1CBC">
      <w:pPr>
        <w:pStyle w:val="Paragrafoelenco"/>
        <w:spacing w:line="240" w:lineRule="auto"/>
        <w:rPr>
          <w:sz w:val="20"/>
          <w:szCs w:val="20"/>
        </w:rPr>
      </w:pPr>
    </w:p>
    <w:p w14:paraId="41055E3B" w14:textId="77777777" w:rsidR="00123A76" w:rsidRDefault="00123A76" w:rsidP="004E1CBC">
      <w:pPr>
        <w:pStyle w:val="Paragrafoelenco"/>
        <w:spacing w:line="240" w:lineRule="auto"/>
        <w:rPr>
          <w:sz w:val="20"/>
          <w:szCs w:val="20"/>
        </w:rPr>
      </w:pPr>
    </w:p>
    <w:p w14:paraId="3AD73030" w14:textId="2E80F598" w:rsidR="00123A76" w:rsidRDefault="00123A76" w:rsidP="00123A76">
      <w:pPr>
        <w:spacing w:line="240" w:lineRule="auto"/>
        <w:jc w:val="both"/>
        <w:rPr>
          <w:i/>
          <w:iCs/>
          <w:color w:val="00B0F0"/>
          <w:sz w:val="16"/>
          <w:szCs w:val="16"/>
        </w:rPr>
      </w:pPr>
      <w:r w:rsidRPr="00123A76">
        <w:rPr>
          <w:i/>
          <w:iCs/>
          <w:color w:val="00B0F0"/>
          <w:sz w:val="16"/>
          <w:szCs w:val="16"/>
        </w:rPr>
        <w:t>19/10/2026</w:t>
      </w:r>
    </w:p>
    <w:p w14:paraId="2CA91C1D" w14:textId="77777777" w:rsidR="00123A76" w:rsidRDefault="00123A76" w:rsidP="00123A76">
      <w:pPr>
        <w:spacing w:line="240" w:lineRule="auto"/>
        <w:jc w:val="both"/>
        <w:rPr>
          <w:i/>
          <w:iCs/>
          <w:color w:val="00B0F0"/>
          <w:sz w:val="16"/>
          <w:szCs w:val="16"/>
        </w:rPr>
      </w:pPr>
    </w:p>
    <w:p w14:paraId="493F9CD1" w14:textId="3E58889E" w:rsidR="00123A76" w:rsidRDefault="00123A76" w:rsidP="00123A76">
      <w:pPr>
        <w:spacing w:line="240" w:lineRule="auto"/>
        <w:jc w:val="both"/>
        <w:rPr>
          <w:b/>
          <w:bCs/>
          <w:i/>
          <w:iCs/>
          <w:color w:val="00B0F0"/>
          <w:sz w:val="28"/>
          <w:szCs w:val="28"/>
        </w:rPr>
      </w:pPr>
      <w:r>
        <w:rPr>
          <w:i/>
          <w:iCs/>
          <w:color w:val="00B0F0"/>
          <w:sz w:val="16"/>
          <w:szCs w:val="16"/>
        </w:rPr>
        <w:tab/>
      </w:r>
      <w:r>
        <w:rPr>
          <w:i/>
          <w:iCs/>
          <w:color w:val="00B0F0"/>
          <w:sz w:val="16"/>
          <w:szCs w:val="16"/>
        </w:rPr>
        <w:tab/>
      </w:r>
      <w:r>
        <w:rPr>
          <w:i/>
          <w:iCs/>
          <w:color w:val="00B0F0"/>
          <w:sz w:val="16"/>
          <w:szCs w:val="16"/>
        </w:rPr>
        <w:tab/>
      </w:r>
      <w:r>
        <w:rPr>
          <w:i/>
          <w:iCs/>
          <w:color w:val="00B0F0"/>
          <w:sz w:val="16"/>
          <w:szCs w:val="16"/>
        </w:rPr>
        <w:tab/>
      </w:r>
      <w:r>
        <w:rPr>
          <w:i/>
          <w:iCs/>
          <w:color w:val="00B0F0"/>
          <w:sz w:val="16"/>
          <w:szCs w:val="16"/>
        </w:rPr>
        <w:tab/>
      </w:r>
      <w:r w:rsidRPr="00123A76">
        <w:rPr>
          <w:b/>
          <w:bCs/>
          <w:i/>
          <w:iCs/>
          <w:color w:val="00B0F0"/>
          <w:sz w:val="28"/>
          <w:szCs w:val="28"/>
        </w:rPr>
        <w:t>Aviation-Industry-News.com</w:t>
      </w:r>
    </w:p>
    <w:p w14:paraId="55141445" w14:textId="77777777" w:rsidR="005566F8" w:rsidRDefault="005566F8" w:rsidP="00123A76">
      <w:pPr>
        <w:spacing w:line="240" w:lineRule="auto"/>
        <w:jc w:val="both"/>
        <w:rPr>
          <w:b/>
          <w:bCs/>
          <w:i/>
          <w:iCs/>
          <w:color w:val="00B0F0"/>
          <w:sz w:val="28"/>
          <w:szCs w:val="28"/>
        </w:rPr>
      </w:pPr>
    </w:p>
    <w:p w14:paraId="468C4407" w14:textId="77777777" w:rsidR="005566F8" w:rsidRDefault="005566F8" w:rsidP="00123A76">
      <w:pPr>
        <w:spacing w:line="240" w:lineRule="auto"/>
        <w:jc w:val="both"/>
        <w:rPr>
          <w:b/>
          <w:bCs/>
          <w:i/>
          <w:iCs/>
          <w:color w:val="00B0F0"/>
          <w:sz w:val="28"/>
          <w:szCs w:val="28"/>
        </w:rPr>
      </w:pPr>
    </w:p>
    <w:p w14:paraId="2E36EC8D" w14:textId="77777777" w:rsidR="005566F8" w:rsidRDefault="005566F8" w:rsidP="00123A76">
      <w:pPr>
        <w:spacing w:line="240" w:lineRule="auto"/>
        <w:jc w:val="both"/>
        <w:rPr>
          <w:b/>
          <w:bCs/>
          <w:i/>
          <w:iCs/>
          <w:color w:val="00B0F0"/>
          <w:sz w:val="28"/>
          <w:szCs w:val="28"/>
        </w:rPr>
      </w:pPr>
    </w:p>
    <w:p w14:paraId="7373F793" w14:textId="77777777" w:rsidR="005566F8" w:rsidRDefault="005566F8" w:rsidP="00123A76">
      <w:pPr>
        <w:spacing w:line="240" w:lineRule="auto"/>
        <w:jc w:val="both"/>
        <w:rPr>
          <w:b/>
          <w:bCs/>
          <w:i/>
          <w:iCs/>
          <w:color w:val="00B0F0"/>
          <w:sz w:val="28"/>
          <w:szCs w:val="28"/>
        </w:rPr>
      </w:pPr>
    </w:p>
    <w:p w14:paraId="3392259D" w14:textId="5826190B" w:rsidR="005566F8" w:rsidRPr="00123A76" w:rsidRDefault="005566F8" w:rsidP="00123A76">
      <w:pPr>
        <w:spacing w:line="240" w:lineRule="auto"/>
        <w:jc w:val="both"/>
        <w:rPr>
          <w:b/>
          <w:bCs/>
          <w:i/>
          <w:iCs/>
          <w:color w:val="00B0F0"/>
          <w:sz w:val="28"/>
          <w:szCs w:val="28"/>
        </w:rPr>
      </w:pPr>
      <w:r>
        <w:rPr>
          <w:b/>
          <w:bCs/>
          <w:i/>
          <w:iCs/>
          <w:noProof/>
          <w:color w:val="00B0F0"/>
          <w:sz w:val="28"/>
          <w:szCs w:val="28"/>
        </w:rPr>
        <w:drawing>
          <wp:inline distT="0" distB="0" distL="0" distR="0" wp14:anchorId="489B9669" wp14:editId="4722E80A">
            <wp:extent cx="6120130" cy="1034415"/>
            <wp:effectExtent l="0" t="0" r="0" b="0"/>
            <wp:docPr id="16892703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270386" name="Immagine 1689270386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66F8" w:rsidRPr="00123A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150B"/>
    <w:multiLevelType w:val="multilevel"/>
    <w:tmpl w:val="100E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9007C"/>
    <w:multiLevelType w:val="multilevel"/>
    <w:tmpl w:val="A8DEC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2E5C8B"/>
    <w:multiLevelType w:val="hybridMultilevel"/>
    <w:tmpl w:val="EFFC169C"/>
    <w:lvl w:ilvl="0" w:tplc="8F4AA4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C426D"/>
    <w:multiLevelType w:val="multilevel"/>
    <w:tmpl w:val="47367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FC4559"/>
    <w:multiLevelType w:val="multilevel"/>
    <w:tmpl w:val="3728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5528104">
    <w:abstractNumId w:val="0"/>
  </w:num>
  <w:num w:numId="2" w16cid:durableId="639191989">
    <w:abstractNumId w:val="1"/>
  </w:num>
  <w:num w:numId="3" w16cid:durableId="851534676">
    <w:abstractNumId w:val="4"/>
  </w:num>
  <w:num w:numId="4" w16cid:durableId="122967016">
    <w:abstractNumId w:val="3"/>
  </w:num>
  <w:num w:numId="5" w16cid:durableId="18160265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06B"/>
    <w:rsid w:val="00061E50"/>
    <w:rsid w:val="00123A76"/>
    <w:rsid w:val="001953FB"/>
    <w:rsid w:val="001B2DB5"/>
    <w:rsid w:val="001F10C6"/>
    <w:rsid w:val="001F7A0F"/>
    <w:rsid w:val="00257375"/>
    <w:rsid w:val="002C7928"/>
    <w:rsid w:val="00375060"/>
    <w:rsid w:val="003752CB"/>
    <w:rsid w:val="00377F3B"/>
    <w:rsid w:val="0038406B"/>
    <w:rsid w:val="003A2B98"/>
    <w:rsid w:val="003B041C"/>
    <w:rsid w:val="003B6494"/>
    <w:rsid w:val="0044743E"/>
    <w:rsid w:val="00455D58"/>
    <w:rsid w:val="00456597"/>
    <w:rsid w:val="004A35F1"/>
    <w:rsid w:val="004D2A23"/>
    <w:rsid w:val="004E1CBC"/>
    <w:rsid w:val="005153DA"/>
    <w:rsid w:val="005566F8"/>
    <w:rsid w:val="005A2FB4"/>
    <w:rsid w:val="005F09C1"/>
    <w:rsid w:val="005F677A"/>
    <w:rsid w:val="00650D8C"/>
    <w:rsid w:val="006F0E60"/>
    <w:rsid w:val="007E2072"/>
    <w:rsid w:val="00805716"/>
    <w:rsid w:val="00860C88"/>
    <w:rsid w:val="00886998"/>
    <w:rsid w:val="008A175D"/>
    <w:rsid w:val="00940A5A"/>
    <w:rsid w:val="00954B19"/>
    <w:rsid w:val="00A736A2"/>
    <w:rsid w:val="00AA1673"/>
    <w:rsid w:val="00AC1DEA"/>
    <w:rsid w:val="00AC3E07"/>
    <w:rsid w:val="00B07133"/>
    <w:rsid w:val="00B94256"/>
    <w:rsid w:val="00BB5C5C"/>
    <w:rsid w:val="00BB7B19"/>
    <w:rsid w:val="00C02618"/>
    <w:rsid w:val="00C31826"/>
    <w:rsid w:val="00D30285"/>
    <w:rsid w:val="00D50D5F"/>
    <w:rsid w:val="00D87C86"/>
    <w:rsid w:val="00DC3E46"/>
    <w:rsid w:val="00DF525B"/>
    <w:rsid w:val="00E514CD"/>
    <w:rsid w:val="00E6368E"/>
    <w:rsid w:val="00EB637D"/>
    <w:rsid w:val="00EF308B"/>
    <w:rsid w:val="00F20411"/>
    <w:rsid w:val="00F67849"/>
    <w:rsid w:val="00F8149A"/>
    <w:rsid w:val="00FC3ABC"/>
    <w:rsid w:val="00FF315F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30C02"/>
  <w15:chartTrackingRefBased/>
  <w15:docId w15:val="{F0BF93E2-660F-4C97-B94F-30A2F9985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84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4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40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4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40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4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4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4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4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4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4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40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406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406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40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40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40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40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4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4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4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4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4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40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840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406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4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406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406B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D87C8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87C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en.wikipedia.org/wiki/Iberia_(airline)" TargetMode="External"/><Relationship Id="rId18" Type="http://schemas.openxmlformats.org/officeDocument/2006/relationships/hyperlink" Target="https://en.wikipedia.org/wiki/Cognac_%E2%80%93_Ch%C3%A2teaubernard_Air_Base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g"/><Relationship Id="rId7" Type="http://schemas.openxmlformats.org/officeDocument/2006/relationships/image" Target="media/image2.png"/><Relationship Id="rId12" Type="http://schemas.openxmlformats.org/officeDocument/2006/relationships/hyperlink" Target="https://en.wikipedia.org/wiki/Nantes" TargetMode="External"/><Relationship Id="rId17" Type="http://schemas.openxmlformats.org/officeDocument/2006/relationships/hyperlink" Target="https://en.wikipedia.org/wiki/Madri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n.wikipedia.org/wiki/Convair_990" TargetMode="External"/><Relationship Id="rId20" Type="http://schemas.openxmlformats.org/officeDocument/2006/relationships/hyperlink" Target="https://www.eurocontrol.int/publication/monthly-adjusted-unit-rates-october-2026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en.wikipedia.org/wiki/Londo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Spantax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hyperlink" Target="https://www.eurocontrol.int/crc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en.wikipedia.org/wiki/Palma_de_Mallorc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6BD1A-23B2-4858-BA42-B0B6AB6C4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</TotalTime>
  <Pages>6</Pages>
  <Words>2177</Words>
  <Characters>12410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Bordoni</dc:creator>
  <cp:keywords/>
  <dc:description/>
  <cp:lastModifiedBy>Antonio Bordoni</cp:lastModifiedBy>
  <cp:revision>31</cp:revision>
  <dcterms:created xsi:type="dcterms:W3CDTF">2026-10-18T08:46:00Z</dcterms:created>
  <dcterms:modified xsi:type="dcterms:W3CDTF">2026-10-19T15:52:00Z</dcterms:modified>
</cp:coreProperties>
</file>