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9CF28" w14:textId="63EEE078" w:rsidR="009E2F0D" w:rsidRDefault="009E2F0D">
      <w:pPr>
        <w:rPr>
          <w:b/>
          <w:bCs/>
        </w:rPr>
      </w:pPr>
      <w:r>
        <w:rPr>
          <w:b/>
          <w:bCs/>
          <w:noProof/>
        </w:rPr>
        <w:drawing>
          <wp:inline distT="0" distB="0" distL="0" distR="0" wp14:anchorId="5E263BE0" wp14:editId="035488A7">
            <wp:extent cx="1137600" cy="216000"/>
            <wp:effectExtent l="0" t="0" r="5715" b="0"/>
            <wp:docPr id="15653308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30848" name="Immagine 15653308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7600" cy="216000"/>
                    </a:xfrm>
                    <a:prstGeom prst="rect">
                      <a:avLst/>
                    </a:prstGeom>
                  </pic:spPr>
                </pic:pic>
              </a:graphicData>
            </a:graphic>
          </wp:inline>
        </w:drawing>
      </w:r>
    </w:p>
    <w:p w14:paraId="65E76FF0" w14:textId="2F591F5B" w:rsidR="00F6118E" w:rsidRPr="009E2F0D" w:rsidRDefault="009E2F0D" w:rsidP="009E2F0D">
      <w:pPr>
        <w:ind w:left="1416" w:firstLine="708"/>
        <w:rPr>
          <w:b/>
          <w:bCs/>
          <w:sz w:val="28"/>
          <w:szCs w:val="28"/>
        </w:rPr>
      </w:pPr>
      <w:r>
        <w:rPr>
          <w:b/>
          <w:bCs/>
        </w:rPr>
        <w:t xml:space="preserve">   </w:t>
      </w:r>
      <w:r w:rsidR="004F1C88" w:rsidRPr="009E2F0D">
        <w:rPr>
          <w:b/>
          <w:bCs/>
          <w:color w:val="FF0000"/>
          <w:sz w:val="28"/>
          <w:szCs w:val="28"/>
        </w:rPr>
        <w:t>SCALATE TEDESCHE…</w:t>
      </w:r>
      <w:r w:rsidR="00D0344F">
        <w:rPr>
          <w:b/>
          <w:bCs/>
          <w:color w:val="FF0000"/>
          <w:sz w:val="28"/>
          <w:szCs w:val="28"/>
        </w:rPr>
        <w:t xml:space="preserve"> </w:t>
      </w:r>
      <w:r w:rsidR="004F1C88" w:rsidRPr="009E2F0D">
        <w:rPr>
          <w:b/>
          <w:bCs/>
          <w:color w:val="FF0000"/>
          <w:sz w:val="28"/>
          <w:szCs w:val="28"/>
        </w:rPr>
        <w:t>E SCALATE ITALIANE</w:t>
      </w:r>
    </w:p>
    <w:p w14:paraId="6AC40A78" w14:textId="4E358EAA" w:rsidR="004D78D3" w:rsidRDefault="004F1C88">
      <w:r>
        <w:t xml:space="preserve">Ogni giorno sui media possiamo apprendere delle difficoltà poste alla Unicredit  di Andrea Orcel da parte dei tedeschi sul tentativo dell’istituto italiano di salire nelle quote di controllo della banca tedesca Commerzbank. Le ultime notizie </w:t>
      </w:r>
      <w:r w:rsidR="004D78D3">
        <w:t>ci informano</w:t>
      </w:r>
      <w:r>
        <w:t xml:space="preserve"> che </w:t>
      </w:r>
      <w:r w:rsidR="004D78D3">
        <w:t>l</w:t>
      </w:r>
      <w:r w:rsidR="004D78D3" w:rsidRPr="004D78D3">
        <w:t>a Banca centrale europea </w:t>
      </w:r>
      <w:hyperlink r:id="rId6" w:history="1">
        <w:r w:rsidR="004D78D3" w:rsidRPr="004D78D3">
          <w:rPr>
            <w:rStyle w:val="Collegamentoipertestuale"/>
            <w:color w:val="000000" w:themeColor="text1"/>
            <w:u w:val="none"/>
          </w:rPr>
          <w:t>ha autorizzato</w:t>
        </w:r>
      </w:hyperlink>
      <w:r w:rsidR="004D78D3" w:rsidRPr="004D78D3">
        <w:rPr>
          <w:color w:val="000000" w:themeColor="text1"/>
        </w:rPr>
        <w:t> </w:t>
      </w:r>
      <w:r w:rsidR="004D78D3" w:rsidRPr="004D78D3">
        <w:t xml:space="preserve">Unicredit, la seconda banca italiana, ad aumentare fino al 29,9 per cento la sua quota in Commerzbank,  sua diretta concorrente in Europa. </w:t>
      </w:r>
      <w:r w:rsidR="004D78D3">
        <w:t xml:space="preserve"> </w:t>
      </w:r>
      <w:r w:rsidR="004D78D3" w:rsidRPr="004D78D3">
        <w:t>Attualmente Unicredit controlla circa il 28 per cento di Commerzbank, di cui il 9,5 per cento sono azioni e il restante 18,5 strumenti derivati</w:t>
      </w:r>
      <w:r w:rsidR="004D78D3">
        <w:t xml:space="preserve">.  </w:t>
      </w:r>
      <w:r w:rsidR="004D78D3" w:rsidRPr="004D78D3">
        <w:t>La decisione della BCE era una di quelle più importanti e molto attesa, ma</w:t>
      </w:r>
      <w:r w:rsidR="00BC30C5">
        <w:t xml:space="preserve"> è bene precisare che</w:t>
      </w:r>
      <w:r w:rsidR="004D78D3" w:rsidRPr="004D78D3">
        <w:t xml:space="preserve"> manca ancora l’approvazione dell’Autorità federale tedesca per la concorrenza.</w:t>
      </w:r>
      <w:r w:rsidR="004D78D3">
        <w:t xml:space="preserve"> Non è male ricordare anche che lo scorso</w:t>
      </w:r>
      <w:r w:rsidR="004D78D3" w:rsidRPr="004D78D3">
        <w:t xml:space="preserve"> dicembre la Germania </w:t>
      </w:r>
      <w:hyperlink r:id="rId7" w:history="1">
        <w:r w:rsidR="004D78D3" w:rsidRPr="004D78D3">
          <w:rPr>
            <w:rStyle w:val="Collegamentoipertestuale"/>
            <w:color w:val="000000" w:themeColor="text1"/>
            <w:u w:val="none"/>
          </w:rPr>
          <w:t>aveva chiesto</w:t>
        </w:r>
      </w:hyperlink>
      <w:r w:rsidR="004D78D3" w:rsidRPr="004D78D3">
        <w:rPr>
          <w:color w:val="000000" w:themeColor="text1"/>
        </w:rPr>
        <w:t> </w:t>
      </w:r>
      <w:r w:rsidR="004D78D3" w:rsidRPr="004D78D3">
        <w:t>a Unicredit di rinunciare all’aumento delle sue quote, con la preoccupazione che il gruppo italiano si espandesse troppo nel settore bancario della Germania</w:t>
      </w:r>
      <w:r w:rsidR="004D78D3">
        <w:t>.</w:t>
      </w:r>
    </w:p>
    <w:p w14:paraId="1CBEF3BC" w14:textId="04467947" w:rsidR="004D78D3" w:rsidRDefault="004D78D3">
      <w:r>
        <w:t>L’intera vicenda e soprattutto le barricate issate dalla Germania per ostacolare il procedere dell’acquisizione non poteva non far sorgere a noi che ci occupiamo di industria aerea e</w:t>
      </w:r>
      <w:r w:rsidR="00754C84">
        <w:t xml:space="preserve"> da sempre</w:t>
      </w:r>
      <w:r>
        <w:t xml:space="preserve"> seguiamo le sorti della nostra compagnia di bandiera, un parallelo fra il dossier Unicred</w:t>
      </w:r>
      <w:r w:rsidR="00BC30C5">
        <w:t>i</w:t>
      </w:r>
      <w:r>
        <w:t>t-Kommerzbank e</w:t>
      </w:r>
      <w:r w:rsidR="008030DF">
        <w:t xml:space="preserve"> il dossier</w:t>
      </w:r>
      <w:r>
        <w:t xml:space="preserve"> ITA Airways-Lufthansa. Dopotutto in entrambi i casi il confronto investe</w:t>
      </w:r>
      <w:r w:rsidR="00BC30C5">
        <w:t xml:space="preserve"> pur sempre</w:t>
      </w:r>
      <w:r>
        <w:t xml:space="preserve">  una società italiana ed una tedesca.</w:t>
      </w:r>
    </w:p>
    <w:p w14:paraId="76C7F1B0" w14:textId="0CBC103D" w:rsidR="00BC30C5" w:rsidRDefault="005E62CD">
      <w:r>
        <w:t>L’a</w:t>
      </w:r>
      <w:r w:rsidR="00BC30C5">
        <w:t>nali</w:t>
      </w:r>
      <w:r>
        <w:t>si</w:t>
      </w:r>
      <w:r w:rsidR="00BC30C5">
        <w:t xml:space="preserve"> </w:t>
      </w:r>
      <w:r>
        <w:t>del</w:t>
      </w:r>
      <w:r w:rsidR="00BC30C5">
        <w:t xml:space="preserve">le modalità con cui fino ad oggi sono state condotte le trattative fra i due governi interessati, ci permette di mettere in luce aspetti che meritano </w:t>
      </w:r>
      <w:r w:rsidR="00C35586">
        <w:t>alcuni</w:t>
      </w:r>
      <w:r w:rsidR="00BC30C5">
        <w:t xml:space="preserve"> commenti.</w:t>
      </w:r>
    </w:p>
    <w:p w14:paraId="164C8914" w14:textId="75A59923" w:rsidR="00C35586" w:rsidRDefault="00BC30C5" w:rsidP="00C35586">
      <w:pPr>
        <w:spacing w:after="0"/>
      </w:pPr>
      <w:r>
        <w:t xml:space="preserve">Certamente va subito chiarita la critica che  </w:t>
      </w:r>
      <w:r w:rsidR="005E62CD">
        <w:t>si potrebbe sollevare</w:t>
      </w:r>
      <w:r>
        <w:t xml:space="preserve"> c</w:t>
      </w:r>
      <w:r w:rsidR="0089302A">
        <w:t>irca il paragone</w:t>
      </w:r>
      <w:r w:rsidR="00C35586">
        <w:t xml:space="preserve"> che ci accingiamo a fare</w:t>
      </w:r>
      <w:r>
        <w:t xml:space="preserve"> </w:t>
      </w:r>
      <w:r w:rsidR="0089302A">
        <w:t xml:space="preserve">fra </w:t>
      </w:r>
      <w:r>
        <w:t>una acquisi</w:t>
      </w:r>
      <w:r w:rsidR="009E2F0D">
        <w:t>zi</w:t>
      </w:r>
      <w:r>
        <w:t>one di istituti bancari con quanto avviene nel settore dell’industria aerea commerciale</w:t>
      </w:r>
      <w:r w:rsidR="0089302A">
        <w:t xml:space="preserve">. </w:t>
      </w:r>
    </w:p>
    <w:p w14:paraId="0CF4AA8E" w14:textId="288F2AE9" w:rsidR="00BC30C5" w:rsidRDefault="00754C84" w:rsidP="00C35586">
      <w:pPr>
        <w:spacing w:after="0"/>
      </w:pPr>
      <w:r>
        <w:t>Tuttavia</w:t>
      </w:r>
      <w:r w:rsidR="00C35586">
        <w:t xml:space="preserve"> una tale comparazione non ci sembra così assurda. E</w:t>
      </w:r>
      <w:r w:rsidR="00C039A7">
        <w:t>ntrambi i dossier hanno in comune il fatto di svolgersi sullo stesso terreno, la UE,</w:t>
      </w:r>
      <w:r w:rsidR="0089302A">
        <w:t xml:space="preserve"> </w:t>
      </w:r>
      <w:r w:rsidR="00C039A7">
        <w:t xml:space="preserve">e </w:t>
      </w:r>
      <w:r w:rsidR="005E62CD">
        <w:t xml:space="preserve">le </w:t>
      </w:r>
      <w:r w:rsidR="00B7416B">
        <w:t xml:space="preserve">due </w:t>
      </w:r>
      <w:r w:rsidR="005E62CD">
        <w:t>vicende</w:t>
      </w:r>
      <w:r w:rsidR="00C039A7">
        <w:t xml:space="preserve"> </w:t>
      </w:r>
      <w:r w:rsidR="00C35586">
        <w:t>hanno punti così in comune che in più occasioni per esse si è usato il termine  di</w:t>
      </w:r>
      <w:r w:rsidR="00C039A7">
        <w:t xml:space="preserve"> “risiko”: </w:t>
      </w:r>
      <w:r w:rsidR="0089302A">
        <w:t xml:space="preserve">nel primo caso siamo di fronte a un </w:t>
      </w:r>
      <w:r w:rsidR="0089302A" w:rsidRPr="00754C84">
        <w:rPr>
          <w:i/>
          <w:iCs/>
        </w:rPr>
        <w:t>risiko bancario</w:t>
      </w:r>
      <w:r w:rsidR="0089302A">
        <w:t xml:space="preserve"> mentre nel secondo siamo di fronte al più volte citato </w:t>
      </w:r>
      <w:r w:rsidR="0089302A" w:rsidRPr="00754C84">
        <w:rPr>
          <w:i/>
          <w:iCs/>
        </w:rPr>
        <w:t>risiko dei cieli</w:t>
      </w:r>
      <w:r w:rsidR="0089302A">
        <w:t>.</w:t>
      </w:r>
    </w:p>
    <w:p w14:paraId="6965B9EC" w14:textId="77777777" w:rsidR="00C35586" w:rsidRDefault="00C35586" w:rsidP="00C35586">
      <w:pPr>
        <w:spacing w:after="0"/>
      </w:pPr>
    </w:p>
    <w:p w14:paraId="67AFA4D1" w14:textId="02E7610E" w:rsidR="005A0750" w:rsidRPr="00C35586" w:rsidRDefault="005A0750">
      <w:pPr>
        <w:rPr>
          <w:u w:val="single"/>
        </w:rPr>
      </w:pPr>
      <w:r>
        <w:t>I</w:t>
      </w:r>
      <w:r w:rsidR="00C039A7">
        <w:t>l primo</w:t>
      </w:r>
      <w:r>
        <w:t xml:space="preserve"> particolare </w:t>
      </w:r>
      <w:r w:rsidR="00C039A7">
        <w:t>su cui soffermarsi è quello di ricordare come</w:t>
      </w:r>
      <w:r>
        <w:t xml:space="preserve"> </w:t>
      </w:r>
      <w:r w:rsidRPr="00C35586">
        <w:rPr>
          <w:u w:val="single"/>
        </w:rPr>
        <w:t xml:space="preserve">entrambi i soggetti </w:t>
      </w:r>
      <w:r w:rsidR="00C35586" w:rsidRPr="00C35586">
        <w:rPr>
          <w:u w:val="single"/>
        </w:rPr>
        <w:t xml:space="preserve">sui quali sono appuntate le attenzioni degli acquirenti </w:t>
      </w:r>
      <w:r w:rsidRPr="00C35586">
        <w:rPr>
          <w:u w:val="single"/>
        </w:rPr>
        <w:t>non navigavano in acque tranquille.</w:t>
      </w:r>
    </w:p>
    <w:p w14:paraId="69BAC8D7" w14:textId="73807123" w:rsidR="0089302A" w:rsidRDefault="0089302A">
      <w:r w:rsidRPr="005A0750">
        <w:t>I</w:t>
      </w:r>
      <w:r w:rsidR="005A0750">
        <w:t>n Germania a</w:t>
      </w:r>
      <w:r w:rsidRPr="0089302A">
        <w:t xml:space="preserve">ll'inizio del 2019 </w:t>
      </w:r>
      <w:r>
        <w:t>vennero</w:t>
      </w:r>
      <w:r w:rsidRPr="0089302A">
        <w:t xml:space="preserve"> avviate le trattative per attuare il piano di cui da tempo</w:t>
      </w:r>
      <w:r>
        <w:t xml:space="preserve"> si parlava</w:t>
      </w:r>
      <w:r w:rsidRPr="0089302A">
        <w:t>: fondere</w:t>
      </w:r>
      <w:r>
        <w:t xml:space="preserve"> la Commerzbank con la </w:t>
      </w:r>
      <w:r w:rsidRPr="0089302A">
        <w:t> </w:t>
      </w:r>
      <w:hyperlink r:id="rId8" w:tooltip="Deutsche Bank" w:history="1">
        <w:r w:rsidRPr="0089302A">
          <w:rPr>
            <w:rStyle w:val="Collegamentoipertestuale"/>
            <w:color w:val="000000" w:themeColor="text1"/>
            <w:u w:val="none"/>
          </w:rPr>
          <w:t>Deutsche Bank</w:t>
        </w:r>
      </w:hyperlink>
      <w:r w:rsidRPr="0089302A">
        <w:t>  le due maggiori banche tedesche ed entrambe con problemi di scarsa redditività e crediti in sofferenza.</w:t>
      </w:r>
      <w:r>
        <w:t xml:space="preserve"> </w:t>
      </w:r>
      <w:r w:rsidRPr="0089302A">
        <w:t>Nel marzo 2019 il ministro delle finanze tedesco, </w:t>
      </w:r>
      <w:hyperlink r:id="rId9" w:tooltip="Olaf Scholz" w:history="1">
        <w:r w:rsidRPr="005A0750">
          <w:rPr>
            <w:rStyle w:val="Collegamentoipertestuale"/>
            <w:color w:val="000000" w:themeColor="text1"/>
            <w:u w:val="none"/>
          </w:rPr>
          <w:t>Olaf Scholz</w:t>
        </w:r>
      </w:hyperlink>
      <w:r w:rsidRPr="005A0750">
        <w:rPr>
          <w:color w:val="000000" w:themeColor="text1"/>
        </w:rPr>
        <w:t>,</w:t>
      </w:r>
      <w:r w:rsidRPr="0089302A">
        <w:t xml:space="preserve"> dà la fusione per cosa fatta ma i principali azionisti la pensano diversamente e il 25 aprile</w:t>
      </w:r>
      <w:r w:rsidR="00754C84">
        <w:t xml:space="preserve"> ecco</w:t>
      </w:r>
      <w:r w:rsidRPr="0089302A">
        <w:t xml:space="preserve"> l'annuncio con due</w:t>
      </w:r>
      <w:r w:rsidR="00754C84">
        <w:t xml:space="preserve"> separati</w:t>
      </w:r>
      <w:r w:rsidRPr="0089302A">
        <w:t xml:space="preserve"> comunicati: salta la fusion</w:t>
      </w:r>
      <w:r w:rsidR="005A0750">
        <w:t xml:space="preserve">e </w:t>
      </w:r>
      <w:r w:rsidR="00754C84">
        <w:t>vuoi</w:t>
      </w:r>
      <w:r w:rsidR="005A0750">
        <w:rPr>
          <w:vertAlign w:val="superscript"/>
        </w:rPr>
        <w:t xml:space="preserve"> </w:t>
      </w:r>
      <w:r w:rsidRPr="0089302A">
        <w:t>a causa del robusto aumento di capitale previsto di almeno 10 miliardi</w:t>
      </w:r>
      <w:r w:rsidR="005A0750">
        <w:t>,</w:t>
      </w:r>
      <w:r w:rsidRPr="0089302A">
        <w:t xml:space="preserve"> e </w:t>
      </w:r>
      <w:r w:rsidR="00754C84">
        <w:t>vuoi per la non certo rassicurante</w:t>
      </w:r>
      <w:r w:rsidR="005A0750">
        <w:t xml:space="preserve"> stima di circa</w:t>
      </w:r>
      <w:r w:rsidRPr="0089302A">
        <w:t xml:space="preserve"> 30.000 esuberi.</w:t>
      </w:r>
    </w:p>
    <w:p w14:paraId="112DAF01" w14:textId="6DA873FF" w:rsidR="005A0750" w:rsidRDefault="005A0750">
      <w:r>
        <w:t xml:space="preserve">In Italia crediamo sia superfluo riproporre le </w:t>
      </w:r>
      <w:r w:rsidR="009E2F0D">
        <w:t>innumerevoli</w:t>
      </w:r>
      <w:r>
        <w:t xml:space="preserve"> traversie che hanno accompagnato gli ultimi anni di Alitalia </w:t>
      </w:r>
      <w:r w:rsidR="00C35586">
        <w:t>fino a giungere al</w:t>
      </w:r>
      <w:r>
        <w:t xml:space="preserve"> decollo di una compagnia decisamente più modesta della precedente che</w:t>
      </w:r>
      <w:r w:rsidR="00C039A7">
        <w:t xml:space="preserve"> </w:t>
      </w:r>
      <w:r>
        <w:t xml:space="preserve">il 15 ottobre 2021 ha preso il via </w:t>
      </w:r>
      <w:r w:rsidR="00C35586">
        <w:t>con la nuova denominazione di</w:t>
      </w:r>
      <w:r>
        <w:t xml:space="preserve"> ITA Airways. Fin dall’inizio del suo lancio non abbiamo mai mancato occasione di evidenziare la paradossalità </w:t>
      </w:r>
      <w:r w:rsidR="00C039A7">
        <w:t xml:space="preserve">del fatto </w:t>
      </w:r>
      <w:r w:rsidR="00C35586">
        <w:t>che una Nazione</w:t>
      </w:r>
      <w:r w:rsidR="00754C84">
        <w:t xml:space="preserve"> che</w:t>
      </w:r>
      <w:r w:rsidR="00C35586">
        <w:t xml:space="preserve"> non ha voluto rinu</w:t>
      </w:r>
      <w:r w:rsidR="00754C84">
        <w:t>n</w:t>
      </w:r>
      <w:r w:rsidR="00C35586">
        <w:t>ciare ad avere una compagnia di bandiera</w:t>
      </w:r>
      <w:r w:rsidR="00754C84">
        <w:t>,</w:t>
      </w:r>
      <w:r w:rsidR="00C35586">
        <w:t xml:space="preserve"> appena dopo aver</w:t>
      </w:r>
      <w:r w:rsidR="00754C84">
        <w:t>ne</w:t>
      </w:r>
      <w:r w:rsidR="00C35586">
        <w:t xml:space="preserve"> varata</w:t>
      </w:r>
      <w:r w:rsidR="00754C84">
        <w:t xml:space="preserve"> una nuova</w:t>
      </w:r>
      <w:r w:rsidR="00C35586">
        <w:t xml:space="preserve"> si è messa </w:t>
      </w:r>
      <w:r w:rsidR="00C039A7">
        <w:t>subito</w:t>
      </w:r>
      <w:r>
        <w:t xml:space="preserve"> alla ricerca del suo acquirente.</w:t>
      </w:r>
    </w:p>
    <w:p w14:paraId="1C13581C" w14:textId="73288202" w:rsidR="005E71B6" w:rsidRDefault="00326EE0">
      <w:r>
        <w:t xml:space="preserve">Un secondo particolare degno di nota è costituito </w:t>
      </w:r>
      <w:r w:rsidRPr="00C35586">
        <w:rPr>
          <w:u w:val="single"/>
        </w:rPr>
        <w:t>dall’oggetto dell’acquisizione</w:t>
      </w:r>
      <w:r>
        <w:t xml:space="preserve">. Al contrario di quello che può accadere </w:t>
      </w:r>
      <w:r w:rsidR="005E62CD">
        <w:t>in altri comparti manifatturieri</w:t>
      </w:r>
      <w:r w:rsidR="00C35586">
        <w:t xml:space="preserve"> o industriali, </w:t>
      </w:r>
      <w:r w:rsidR="005E62CD">
        <w:t xml:space="preserve"> acquisire una compagnia aerea ha come obiettivo non</w:t>
      </w:r>
      <w:r w:rsidR="00BB081B">
        <w:t xml:space="preserve"> certo</w:t>
      </w:r>
      <w:r w:rsidR="005E62CD">
        <w:t xml:space="preserve"> l’aumento de</w:t>
      </w:r>
      <w:r w:rsidR="00540D3A">
        <w:t xml:space="preserve">l numero </w:t>
      </w:r>
      <w:r w:rsidR="00C35586">
        <w:t>velivoli</w:t>
      </w:r>
      <w:r w:rsidR="00540D3A">
        <w:t xml:space="preserve"> che compongono la flotta dell’acquirente</w:t>
      </w:r>
      <w:r w:rsidR="005E62CD">
        <w:t xml:space="preserve"> </w:t>
      </w:r>
      <w:r>
        <w:t xml:space="preserve"> </w:t>
      </w:r>
      <w:r w:rsidR="00540D3A">
        <w:t xml:space="preserve">bensì solo e soltanto </w:t>
      </w:r>
      <w:r w:rsidR="00C35586">
        <w:t xml:space="preserve">poter controllare </w:t>
      </w:r>
      <w:r w:rsidR="00540D3A">
        <w:t xml:space="preserve">il mercato d’origine del vettore, e ciò è particolarmente vero nel caso dell’acquisizione di ITA Airways. Analogamente controllare un istituto bancario che ha la sua clientela in </w:t>
      </w:r>
      <w:r w:rsidR="00540D3A">
        <w:lastRenderedPageBreak/>
        <w:t>Germania permette all’acquirente di</w:t>
      </w:r>
      <w:r w:rsidR="005E71B6">
        <w:t xml:space="preserve"> allargare la propria quota di mercato in Germania e in un certo qual modo </w:t>
      </w:r>
      <w:r w:rsidR="00540D3A">
        <w:t>gestire e controllare i capitali che si muovo</w:t>
      </w:r>
      <w:r w:rsidR="00BB081B">
        <w:t>no</w:t>
      </w:r>
      <w:r w:rsidR="00540D3A">
        <w:t xml:space="preserve"> in quel Paese.</w:t>
      </w:r>
      <w:r w:rsidR="00BB081B">
        <w:t xml:space="preserve"> </w:t>
      </w:r>
      <w:r w:rsidR="00B7416B">
        <w:t xml:space="preserve"> </w:t>
      </w:r>
      <w:r w:rsidR="00E12438">
        <w:t xml:space="preserve">Tuttavia </w:t>
      </w:r>
      <w:r w:rsidR="006D1354">
        <w:t>a</w:t>
      </w:r>
      <w:r w:rsidR="00BB081B">
        <w:t>bbiamo</w:t>
      </w:r>
      <w:r w:rsidR="006D1354">
        <w:t xml:space="preserve"> </w:t>
      </w:r>
      <w:r w:rsidR="00E12438">
        <w:t xml:space="preserve">qualcosa </w:t>
      </w:r>
      <w:r w:rsidR="006D1354">
        <w:t>da</w:t>
      </w:r>
      <w:r w:rsidR="00BB081B">
        <w:t xml:space="preserve"> evidenziare</w:t>
      </w:r>
      <w:r w:rsidR="006D1354">
        <w:t>,</w:t>
      </w:r>
      <w:r w:rsidR="00BB081B">
        <w:t xml:space="preserve"> un particolare non certo di poco conto: </w:t>
      </w:r>
      <w:r w:rsidR="005E71B6">
        <w:t xml:space="preserve">mentre in Germania </w:t>
      </w:r>
      <w:r w:rsidR="00754C84">
        <w:t>colui il quale</w:t>
      </w:r>
      <w:r w:rsidR="005E71B6">
        <w:t xml:space="preserve"> acquisisse il completo controllo dell</w:t>
      </w:r>
      <w:r w:rsidR="006D1354">
        <w:t>a</w:t>
      </w:r>
      <w:r w:rsidR="005E71B6">
        <w:t xml:space="preserve"> Kommerzbank si </w:t>
      </w:r>
      <w:r w:rsidR="00BB081B">
        <w:t>troverebbe nella non certo facile posizione di doversi</w:t>
      </w:r>
      <w:r w:rsidR="005E71B6">
        <w:t xml:space="preserve"> confrontare con un altro </w:t>
      </w:r>
      <w:r w:rsidR="006D1354">
        <w:t>influente</w:t>
      </w:r>
      <w:r w:rsidR="005E71B6">
        <w:t xml:space="preserve"> soggetto del settore</w:t>
      </w:r>
      <w:r w:rsidR="00BB081B">
        <w:t>,</w:t>
      </w:r>
      <w:r w:rsidR="005E71B6">
        <w:t xml:space="preserve"> la Deutsche Bank, </w:t>
      </w:r>
      <w:r w:rsidR="00B7416B">
        <w:t>ne</w:t>
      </w:r>
      <w:r w:rsidR="005E71B6">
        <w:t>l settore aereo</w:t>
      </w:r>
      <w:r w:rsidR="00B7416B">
        <w:t xml:space="preserve"> invece</w:t>
      </w:r>
      <w:r w:rsidR="005E71B6">
        <w:t xml:space="preserve"> chi acquista ITA in pratica acquisisce il </w:t>
      </w:r>
      <w:r w:rsidR="006D1354">
        <w:t xml:space="preserve">pressoché </w:t>
      </w:r>
      <w:r w:rsidR="005E71B6">
        <w:t>completo controllo del mercato aereo italiano.</w:t>
      </w:r>
      <w:r w:rsidR="00BB081B">
        <w:t xml:space="preserve"> E ciò perché in base a</w:t>
      </w:r>
      <w:r w:rsidR="006D1354">
        <w:t>i</w:t>
      </w:r>
      <w:r w:rsidR="00BB081B">
        <w:t xml:space="preserve"> più recenti dati di traffico</w:t>
      </w:r>
      <w:r w:rsidR="006D1354">
        <w:t>,</w:t>
      </w:r>
      <w:r w:rsidR="00BB081B">
        <w:t xml:space="preserve"> il secondo vettore italiano, dati del 2023, è la Neos che ha movimentato 2.200.000 passeggeri seguita dalla AeroItalia</w:t>
      </w:r>
      <w:r w:rsidR="006D1354">
        <w:t xml:space="preserve"> con</w:t>
      </w:r>
      <w:r w:rsidR="00BB081B">
        <w:t xml:space="preserve"> </w:t>
      </w:r>
      <w:r w:rsidR="00881316">
        <w:t>1.079.000</w:t>
      </w:r>
      <w:r w:rsidR="006D1354">
        <w:t xml:space="preserve"> passeggeri. Numeri ben distanti dai 15 milioni raggiunti da ITA.</w:t>
      </w:r>
    </w:p>
    <w:p w14:paraId="636778E7" w14:textId="767A678B" w:rsidR="00B7416B" w:rsidRDefault="00B7416B">
      <w:r>
        <w:t>Il particolare che più colpisce nelle due operazioni c</w:t>
      </w:r>
      <w:r w:rsidR="00754C84">
        <w:t xml:space="preserve">ui stiamo </w:t>
      </w:r>
      <w:r w:rsidR="00E12438">
        <w:t>segue</w:t>
      </w:r>
      <w:r w:rsidR="00754C84">
        <w:t>ndo l’evolversi</w:t>
      </w:r>
      <w:r w:rsidR="00E12438">
        <w:t>,</w:t>
      </w:r>
      <w:r>
        <w:t xml:space="preserve"> è l’estrema facilità</w:t>
      </w:r>
      <w:r w:rsidR="00E12438">
        <w:t xml:space="preserve"> e </w:t>
      </w:r>
      <w:r w:rsidR="00E12438" w:rsidRPr="00E12438">
        <w:rPr>
          <w:i/>
          <w:iCs/>
        </w:rPr>
        <w:t>nonchalance</w:t>
      </w:r>
      <w:r>
        <w:t xml:space="preserve"> con cui si vuol </w:t>
      </w:r>
      <w:r w:rsidR="00E12438">
        <w:t>cedere</w:t>
      </w:r>
      <w:r>
        <w:t xml:space="preserve"> il controllo di ITA Airways</w:t>
      </w:r>
      <w:r w:rsidR="003C5AF8">
        <w:t>,</w:t>
      </w:r>
      <w:r>
        <w:t xml:space="preserve"> comparandolo con l’estrema difficoltà che incontra la Banca Intesa ad aumentare la sue quote azionarie nella Kommerzbank. </w:t>
      </w:r>
      <w:r w:rsidR="003C5AF8">
        <w:t xml:space="preserve"> Ma dopotutto a noi italiani tutto </w:t>
      </w:r>
      <w:r w:rsidR="00E12438">
        <w:t>ciò dovrebbe non stupirci troppo</w:t>
      </w:r>
      <w:r w:rsidR="003C5AF8">
        <w:t xml:space="preserve">: la storia </w:t>
      </w:r>
      <w:r>
        <w:t xml:space="preserve"> </w:t>
      </w:r>
      <w:r w:rsidR="003C5AF8" w:rsidRPr="003C5AF8">
        <w:t xml:space="preserve">dell’imprenditoria </w:t>
      </w:r>
      <w:r w:rsidR="00E12438">
        <w:t>nostrana</w:t>
      </w:r>
      <w:r w:rsidR="003C5AF8" w:rsidRPr="003C5AF8">
        <w:t xml:space="preserve"> è funestata da occasioni mancate: dall’Informatica dell’Olivetti alla Chimica della Montedison, passando per le telecomunicazioni di Telecom e Omnitel, </w:t>
      </w:r>
      <w:r w:rsidR="00E12438">
        <w:t>al</w:t>
      </w:r>
      <w:r w:rsidR="003C5AF8" w:rsidRPr="003C5AF8">
        <w:t>l’agro-alimentare della SME</w:t>
      </w:r>
      <w:r w:rsidR="003C5AF8">
        <w:t xml:space="preserve"> </w:t>
      </w:r>
      <w:r w:rsidR="003C5AF8" w:rsidRPr="003C5AF8">
        <w:t>con marchi</w:t>
      </w:r>
      <w:r w:rsidR="00E12438">
        <w:t xml:space="preserve"> famosi</w:t>
      </w:r>
      <w:r w:rsidR="003C5AF8" w:rsidRPr="003C5AF8">
        <w:t xml:space="preserve"> </w:t>
      </w:r>
      <w:r w:rsidR="00E12438" w:rsidRPr="00E12438">
        <w:rPr>
          <w:color w:val="FF0000"/>
          <w:sz w:val="16"/>
          <w:szCs w:val="16"/>
        </w:rPr>
        <w:t>(1)</w:t>
      </w:r>
      <w:r w:rsidR="00E12438" w:rsidRPr="00E12438">
        <w:rPr>
          <w:color w:val="FF0000"/>
        </w:rPr>
        <w:t xml:space="preserve"> </w:t>
      </w:r>
      <w:r w:rsidR="003C5AF8">
        <w:t>e n</w:t>
      </w:r>
      <w:r w:rsidR="003C5AF8" w:rsidRPr="003C5AF8">
        <w:t>egli anni ’90</w:t>
      </w:r>
      <w:r w:rsidR="003C5AF8">
        <w:t xml:space="preserve"> smembrato con le rispettive attività</w:t>
      </w:r>
      <w:r w:rsidR="003C5AF8" w:rsidRPr="003C5AF8">
        <w:t xml:space="preserve"> vendute separatamente a imprenditori </w:t>
      </w:r>
      <w:r w:rsidR="003C5AF8">
        <w:t>it</w:t>
      </w:r>
      <w:r w:rsidR="003C5AF8" w:rsidRPr="003C5AF8">
        <w:t xml:space="preserve">aliani </w:t>
      </w:r>
      <w:r w:rsidR="003C5AF8">
        <w:t>ed</w:t>
      </w:r>
      <w:r w:rsidR="003C5AF8" w:rsidRPr="003C5AF8">
        <w:t xml:space="preserve"> esteri</w:t>
      </w:r>
      <w:r w:rsidR="003C5AF8">
        <w:t>,</w:t>
      </w:r>
      <w:r w:rsidR="003C5AF8" w:rsidRPr="003C5AF8">
        <w:t xml:space="preserve"> i</w:t>
      </w:r>
      <w:r w:rsidR="00E12438">
        <w:t>l</w:t>
      </w:r>
      <w:r w:rsidR="003C5AF8" w:rsidRPr="003C5AF8">
        <w:t xml:space="preserve"> </w:t>
      </w:r>
      <w:r w:rsidR="004A422A">
        <w:t>comparto</w:t>
      </w:r>
      <w:r w:rsidR="003C5AF8" w:rsidRPr="003C5AF8">
        <w:t xml:space="preserve"> aere</w:t>
      </w:r>
      <w:r w:rsidR="00E12438">
        <w:t>o</w:t>
      </w:r>
      <w:r w:rsidR="003C5AF8" w:rsidRPr="003C5AF8">
        <w:t xml:space="preserve"> d</w:t>
      </w:r>
      <w:r w:rsidR="00E12438">
        <w:t xml:space="preserve">i </w:t>
      </w:r>
      <w:r w:rsidR="003C5AF8" w:rsidRPr="003C5AF8">
        <w:t>Alitalia</w:t>
      </w:r>
      <w:r w:rsidR="00E12438">
        <w:t>.…</w:t>
      </w:r>
      <w:r w:rsidR="003C5AF8">
        <w:t xml:space="preserve"> tutte </w:t>
      </w:r>
      <w:r w:rsidR="003C5AF8" w:rsidRPr="003C5AF8">
        <w:t>società che sarebbero potute diventare dei player globali e che invece sono sparite o ridotte al ruolo di comprimari.</w:t>
      </w:r>
      <w:r w:rsidR="003C5AF8">
        <w:t xml:space="preserve"> Ecco perché </w:t>
      </w:r>
      <w:r w:rsidR="00E12438">
        <w:t xml:space="preserve">l’avvenuta </w:t>
      </w:r>
      <w:r w:rsidR="003C5AF8">
        <w:t xml:space="preserve">scomparsa di Alitalia e il prossimo </w:t>
      </w:r>
      <w:r w:rsidR="003B7F28">
        <w:t>fagocitarsi di ITA all’interno della galassia Lufthansa desta poco interesse</w:t>
      </w:r>
      <w:r w:rsidR="00E12438">
        <w:t xml:space="preserve">, fa tutto parte dell’ </w:t>
      </w:r>
      <w:r w:rsidR="00E12438" w:rsidRPr="00E12438">
        <w:rPr>
          <w:i/>
          <w:iCs/>
        </w:rPr>
        <w:t>italian style</w:t>
      </w:r>
      <w:r w:rsidR="00E12438">
        <w:t>.</w:t>
      </w:r>
    </w:p>
    <w:p w14:paraId="1737AABD" w14:textId="77777777" w:rsidR="00E12438" w:rsidRDefault="00E12438"/>
    <w:p w14:paraId="3AD9E3F4" w14:textId="77777777" w:rsidR="00E12438" w:rsidRDefault="00E12438"/>
    <w:p w14:paraId="137EC349" w14:textId="238368B4" w:rsidR="009E2F0D" w:rsidRDefault="00E12438" w:rsidP="009E2F0D">
      <w:pPr>
        <w:pStyle w:val="Paragrafoelenco"/>
        <w:numPr>
          <w:ilvl w:val="0"/>
          <w:numId w:val="1"/>
        </w:numPr>
        <w:spacing w:line="240" w:lineRule="auto"/>
        <w:rPr>
          <w:color w:val="000000" w:themeColor="text1"/>
          <w:sz w:val="20"/>
          <w:szCs w:val="20"/>
        </w:rPr>
      </w:pPr>
      <w:r w:rsidRPr="009E2F0D">
        <w:rPr>
          <w:color w:val="000000" w:themeColor="text1"/>
          <w:sz w:val="20"/>
          <w:szCs w:val="20"/>
        </w:rPr>
        <w:t>A puro titolo informativo ricordiamo che la SME comprendeva marchi famosi quali Motta, Alemagna, Cirio, Star, Mellin</w:t>
      </w:r>
      <w:r w:rsidR="009E2F0D" w:rsidRPr="009E2F0D">
        <w:rPr>
          <w:color w:val="000000" w:themeColor="text1"/>
          <w:sz w:val="20"/>
          <w:szCs w:val="20"/>
        </w:rPr>
        <w:t>. La vicenda SME riguarda la fallita privatizzazione dell'azienda </w:t>
      </w:r>
      <w:hyperlink r:id="rId10" w:tooltip="SME (azienda)" w:history="1">
        <w:r w:rsidR="009E2F0D" w:rsidRPr="009E2F0D">
          <w:rPr>
            <w:rStyle w:val="Collegamentoipertestuale"/>
            <w:color w:val="000000" w:themeColor="text1"/>
            <w:sz w:val="20"/>
            <w:szCs w:val="20"/>
            <w:u w:val="none"/>
          </w:rPr>
          <w:t>SME</w:t>
        </w:r>
      </w:hyperlink>
      <w:r w:rsidR="009E2F0D">
        <w:rPr>
          <w:color w:val="000000" w:themeColor="text1"/>
          <w:sz w:val="20"/>
          <w:szCs w:val="20"/>
        </w:rPr>
        <w:t xml:space="preserve"> (Società Meridionale Elettricità)</w:t>
      </w:r>
      <w:r w:rsidR="009E2F0D" w:rsidRPr="009E2F0D">
        <w:rPr>
          <w:color w:val="000000" w:themeColor="text1"/>
          <w:sz w:val="20"/>
          <w:szCs w:val="20"/>
        </w:rPr>
        <w:t> parte del gruppo </w:t>
      </w:r>
      <w:hyperlink r:id="rId11" w:tooltip="IRI" w:history="1">
        <w:r w:rsidR="009E2F0D" w:rsidRPr="009E2F0D">
          <w:rPr>
            <w:rStyle w:val="Collegamentoipertestuale"/>
            <w:color w:val="000000" w:themeColor="text1"/>
            <w:sz w:val="20"/>
            <w:szCs w:val="20"/>
            <w:u w:val="none"/>
          </w:rPr>
          <w:t>IRI</w:t>
        </w:r>
      </w:hyperlink>
      <w:r w:rsidR="009E2F0D">
        <w:rPr>
          <w:color w:val="000000" w:themeColor="text1"/>
          <w:sz w:val="20"/>
          <w:szCs w:val="20"/>
        </w:rPr>
        <w:t xml:space="preserve">, </w:t>
      </w:r>
      <w:r w:rsidR="009E2F0D" w:rsidRPr="009E2F0D">
        <w:rPr>
          <w:color w:val="000000" w:themeColor="text1"/>
          <w:sz w:val="20"/>
          <w:szCs w:val="20"/>
        </w:rPr>
        <w:t xml:space="preserve"> a metà degli </w:t>
      </w:r>
      <w:hyperlink r:id="rId12" w:tooltip="Anni 1980" w:history="1">
        <w:r w:rsidR="009E2F0D" w:rsidRPr="009E2F0D">
          <w:rPr>
            <w:rStyle w:val="Collegamentoipertestuale"/>
            <w:color w:val="000000" w:themeColor="text1"/>
            <w:sz w:val="20"/>
            <w:szCs w:val="20"/>
            <w:u w:val="none"/>
          </w:rPr>
          <w:t>anni 1980</w:t>
        </w:r>
      </w:hyperlink>
      <w:r w:rsidR="009E2F0D">
        <w:rPr>
          <w:color w:val="000000" w:themeColor="text1"/>
          <w:sz w:val="20"/>
          <w:szCs w:val="20"/>
        </w:rPr>
        <w:t xml:space="preserve">, </w:t>
      </w:r>
      <w:r w:rsidR="009E2F0D" w:rsidRPr="009E2F0D">
        <w:rPr>
          <w:color w:val="000000" w:themeColor="text1"/>
          <w:sz w:val="20"/>
          <w:szCs w:val="20"/>
        </w:rPr>
        <w:t>e la successiva vendita avvenuta a metà degli </w:t>
      </w:r>
      <w:hyperlink r:id="rId13" w:tooltip="Anni 1990" w:history="1">
        <w:r w:rsidR="009E2F0D" w:rsidRPr="009E2F0D">
          <w:rPr>
            <w:rStyle w:val="Collegamentoipertestuale"/>
            <w:color w:val="000000" w:themeColor="text1"/>
            <w:sz w:val="20"/>
            <w:szCs w:val="20"/>
            <w:u w:val="none"/>
          </w:rPr>
          <w:t>anni 1990</w:t>
        </w:r>
      </w:hyperlink>
      <w:r w:rsidR="009E2F0D" w:rsidRPr="009E2F0D">
        <w:rPr>
          <w:color w:val="000000" w:themeColor="text1"/>
          <w:sz w:val="20"/>
          <w:szCs w:val="20"/>
        </w:rPr>
        <w:t>.</w:t>
      </w:r>
      <w:r w:rsidR="009E2F0D">
        <w:rPr>
          <w:color w:val="000000" w:themeColor="text1"/>
          <w:sz w:val="20"/>
          <w:szCs w:val="20"/>
        </w:rPr>
        <w:t xml:space="preserve"> </w:t>
      </w:r>
      <w:r w:rsidR="009E2F0D" w:rsidRPr="009E2F0D">
        <w:rPr>
          <w:color w:val="000000" w:themeColor="text1"/>
          <w:sz w:val="20"/>
          <w:szCs w:val="20"/>
        </w:rPr>
        <w:t>La SME, inizialmente società operante nel settore elettrico nel </w:t>
      </w:r>
      <w:hyperlink r:id="rId14" w:tooltip="Sud Italia" w:history="1">
        <w:r w:rsidR="009E2F0D" w:rsidRPr="009E2F0D">
          <w:rPr>
            <w:rStyle w:val="Collegamentoipertestuale"/>
            <w:color w:val="000000" w:themeColor="text1"/>
            <w:sz w:val="20"/>
            <w:szCs w:val="20"/>
            <w:u w:val="none"/>
          </w:rPr>
          <w:t>sud Italia</w:t>
        </w:r>
      </w:hyperlink>
      <w:r w:rsidR="009E2F0D" w:rsidRPr="009E2F0D">
        <w:rPr>
          <w:color w:val="000000" w:themeColor="text1"/>
          <w:sz w:val="20"/>
          <w:szCs w:val="20"/>
        </w:rPr>
        <w:t>, era divenuta a partire dagli anni 1960 uno dei maggiori gruppi dell'industria alimentare italiana.</w:t>
      </w:r>
    </w:p>
    <w:p w14:paraId="22568201" w14:textId="77777777" w:rsidR="004607FA" w:rsidRDefault="004607FA" w:rsidP="004607FA">
      <w:pPr>
        <w:spacing w:line="240" w:lineRule="auto"/>
        <w:rPr>
          <w:color w:val="000000" w:themeColor="text1"/>
          <w:sz w:val="20"/>
          <w:szCs w:val="20"/>
        </w:rPr>
      </w:pPr>
    </w:p>
    <w:p w14:paraId="6E9E25A4" w14:textId="1EFBF508" w:rsidR="004607FA" w:rsidRPr="004607FA" w:rsidRDefault="004607FA" w:rsidP="004607FA">
      <w:pPr>
        <w:spacing w:line="240" w:lineRule="auto"/>
        <w:rPr>
          <w:i/>
          <w:iCs/>
          <w:color w:val="000000" w:themeColor="text1"/>
          <w:sz w:val="16"/>
          <w:szCs w:val="16"/>
        </w:rPr>
      </w:pPr>
      <w:r w:rsidRPr="004607FA">
        <w:rPr>
          <w:i/>
          <w:iCs/>
          <w:color w:val="000000" w:themeColor="text1"/>
          <w:sz w:val="16"/>
          <w:szCs w:val="16"/>
        </w:rPr>
        <w:t>17 Marzo 2025</w:t>
      </w:r>
    </w:p>
    <w:p w14:paraId="1F1666E5" w14:textId="3A3CA903" w:rsidR="001A430F" w:rsidRPr="002460AE" w:rsidRDefault="001A430F" w:rsidP="001A430F">
      <w:pPr>
        <w:rPr>
          <w:b/>
          <w:bCs/>
          <w:i/>
          <w:iCs/>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sidRPr="002460AE">
        <w:rPr>
          <w:b/>
          <w:bCs/>
          <w:i/>
          <w:iCs/>
          <w:color w:val="4472C4" w:themeColor="accent1"/>
          <w:sz w:val="20"/>
          <w:szCs w:val="20"/>
        </w:rPr>
        <w:t>Aviation-Industry-News.com</w:t>
      </w:r>
    </w:p>
    <w:p w14:paraId="3976161D" w14:textId="77777777" w:rsidR="001A430F" w:rsidRDefault="001A430F" w:rsidP="001A430F">
      <w:pPr>
        <w:rPr>
          <w:sz w:val="20"/>
          <w:szCs w:val="20"/>
        </w:rPr>
      </w:pPr>
    </w:p>
    <w:p w14:paraId="023B35D9" w14:textId="77777777" w:rsidR="001A430F" w:rsidRDefault="001A430F" w:rsidP="001A430F">
      <w:pPr>
        <w:rPr>
          <w:sz w:val="20"/>
          <w:szCs w:val="20"/>
        </w:rPr>
      </w:pPr>
    </w:p>
    <w:p w14:paraId="348D7B1B" w14:textId="77777777" w:rsidR="001A430F" w:rsidRDefault="001A430F" w:rsidP="001A430F">
      <w:pPr>
        <w:rPr>
          <w:sz w:val="20"/>
          <w:szCs w:val="20"/>
        </w:rPr>
      </w:pPr>
    </w:p>
    <w:p w14:paraId="32B89A45" w14:textId="77777777" w:rsidR="001A430F" w:rsidRDefault="001A430F" w:rsidP="001A430F">
      <w:pPr>
        <w:rPr>
          <w:sz w:val="20"/>
          <w:szCs w:val="20"/>
        </w:rPr>
      </w:pPr>
    </w:p>
    <w:p w14:paraId="6F032347" w14:textId="77777777" w:rsidR="001A430F" w:rsidRDefault="001A430F" w:rsidP="001A430F">
      <w:pPr>
        <w:rPr>
          <w:sz w:val="20"/>
          <w:szCs w:val="20"/>
        </w:rPr>
      </w:pPr>
    </w:p>
    <w:p w14:paraId="666D4F4E" w14:textId="77777777" w:rsidR="001A430F" w:rsidRDefault="001A430F" w:rsidP="001A430F">
      <w:pPr>
        <w:rPr>
          <w:sz w:val="20"/>
          <w:szCs w:val="20"/>
        </w:rPr>
      </w:pPr>
    </w:p>
    <w:p w14:paraId="0A884E90" w14:textId="77777777" w:rsidR="001A430F" w:rsidRDefault="001A430F" w:rsidP="001A430F">
      <w:pPr>
        <w:rPr>
          <w:sz w:val="20"/>
          <w:szCs w:val="20"/>
        </w:rPr>
      </w:pPr>
    </w:p>
    <w:p w14:paraId="031CF8D7" w14:textId="77777777" w:rsidR="001A430F" w:rsidRDefault="001A430F" w:rsidP="001A430F">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4C81ECE" w14:textId="77777777" w:rsidR="001A430F" w:rsidRDefault="001A430F" w:rsidP="001A430F">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0F280DD" w14:textId="77777777" w:rsidR="001A430F" w:rsidRDefault="001A430F" w:rsidP="001A430F">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A3A9B04" w14:textId="0C526B7E" w:rsidR="001A430F" w:rsidRPr="001F5A33" w:rsidRDefault="001A430F" w:rsidP="001A430F">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5A33">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E’ uscito il nuovo libro:</w:t>
      </w:r>
    </w:p>
    <w:p w14:paraId="2559C4D7" w14:textId="77777777" w:rsidR="001A430F" w:rsidRDefault="001A430F" w:rsidP="001A430F">
      <w:pPr>
        <w:jc w:val="center"/>
      </w:pPr>
      <w:r w:rsidRPr="001F5A33">
        <w:rPr>
          <w:noProof/>
          <w:sz w:val="18"/>
          <w:szCs w:val="18"/>
        </w:rPr>
        <w:drawing>
          <wp:inline distT="0" distB="0" distL="0" distR="0" wp14:anchorId="5283EF7C" wp14:editId="2A87596B">
            <wp:extent cx="3538800" cy="4946400"/>
            <wp:effectExtent l="0" t="0" r="5080" b="6985"/>
            <wp:docPr id="11624353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8800" cy="4946400"/>
                    </a:xfrm>
                    <a:prstGeom prst="rect">
                      <a:avLst/>
                    </a:prstGeom>
                    <a:noFill/>
                    <a:ln>
                      <a:noFill/>
                    </a:ln>
                  </pic:spPr>
                </pic:pic>
              </a:graphicData>
            </a:graphic>
          </wp:inline>
        </w:drawing>
      </w:r>
    </w:p>
    <w:p w14:paraId="7FE14484" w14:textId="77777777" w:rsidR="001A430F" w:rsidRDefault="001A430F" w:rsidP="001A430F"/>
    <w:p w14:paraId="000E890C" w14:textId="77777777" w:rsidR="001A430F" w:rsidRDefault="001A430F" w:rsidP="001A430F">
      <w:pPr>
        <w:jc w:val="center"/>
      </w:pPr>
      <w:r>
        <w:rPr>
          <w:noProof/>
          <w:sz w:val="18"/>
          <w:szCs w:val="18"/>
        </w:rPr>
        <w:drawing>
          <wp:inline distT="0" distB="0" distL="0" distR="0" wp14:anchorId="257E2189" wp14:editId="72D93911">
            <wp:extent cx="1778400" cy="1497600"/>
            <wp:effectExtent l="0" t="0" r="0" b="7620"/>
            <wp:docPr id="7842408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40829" name="Immagine 784240829"/>
                    <pic:cNvPicPr/>
                  </pic:nvPicPr>
                  <pic:blipFill>
                    <a:blip r:embed="rId16">
                      <a:extLst>
                        <a:ext uri="{28A0092B-C50C-407E-A947-70E740481C1C}">
                          <a14:useLocalDpi xmlns:a14="http://schemas.microsoft.com/office/drawing/2010/main" val="0"/>
                        </a:ext>
                      </a:extLst>
                    </a:blip>
                    <a:stretch>
                      <a:fillRect/>
                    </a:stretch>
                  </pic:blipFill>
                  <pic:spPr>
                    <a:xfrm>
                      <a:off x="0" y="0"/>
                      <a:ext cx="1778400" cy="1497600"/>
                    </a:xfrm>
                    <a:prstGeom prst="rect">
                      <a:avLst/>
                    </a:prstGeom>
                  </pic:spPr>
                </pic:pic>
              </a:graphicData>
            </a:graphic>
          </wp:inline>
        </w:drawing>
      </w:r>
    </w:p>
    <w:p w14:paraId="48AC4609" w14:textId="77777777" w:rsidR="001A430F" w:rsidRDefault="001A430F" w:rsidP="001A430F">
      <w:pPr>
        <w:jc w:val="center"/>
      </w:pPr>
    </w:p>
    <w:p w14:paraId="14079559" w14:textId="77777777" w:rsidR="001A430F" w:rsidRDefault="001A430F" w:rsidP="001A430F">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INVITIAMO I LETTORI DELLA NOSTRA NEWSLETTER A COMUNICARCI NOMINATIVI INTERESSATI A RICEVERE LA STESSA. L’ABBONAMENTO E’ COMPLETAMENTE GRATUITO E PUO’ ESSERE CANCELLATO IN QUALSIASI MOMENTO.</w:t>
      </w:r>
    </w:p>
    <w:p w14:paraId="01F942CA" w14:textId="77777777" w:rsidR="001A430F" w:rsidRPr="00D06176" w:rsidRDefault="001A430F" w:rsidP="001A430F">
      <w:pPr>
        <w:pBdr>
          <w:top w:val="single" w:sz="4" w:space="1" w:color="auto"/>
          <w:left w:val="single" w:sz="4" w:space="4" w:color="auto"/>
          <w:bottom w:val="single" w:sz="4" w:space="1" w:color="auto"/>
          <w:right w:val="single" w:sz="4" w:space="4" w:color="auto"/>
        </w:pBdr>
        <w:rPr>
          <w:rFonts w:ascii="Bahnschrift SemiCondensed" w:hAnsi="Bahnschrift SemiCondensed"/>
          <w:color w:val="0563C1" w:themeColor="hyperlink"/>
          <w:sz w:val="24"/>
          <w:szCs w:val="24"/>
          <w:u w:val="single"/>
        </w:rPr>
      </w:pPr>
      <w:r>
        <w:rPr>
          <w:rFonts w:ascii="Bahnschrift SemiCondensed" w:hAnsi="Bahnschrift SemiCondensed"/>
          <w:color w:val="4472C4" w:themeColor="accent1"/>
          <w:sz w:val="24"/>
          <w:szCs w:val="24"/>
        </w:rPr>
        <w:t xml:space="preserve"> INVIARE RICHIESTE A: </w:t>
      </w:r>
      <w:hyperlink r:id="rId17" w:history="1">
        <w:r>
          <w:rPr>
            <w:rStyle w:val="Collegamentoipertestuale"/>
            <w:rFonts w:ascii="Bahnschrift SemiCondensed" w:hAnsi="Bahnschrift SemiCondensed"/>
            <w:sz w:val="24"/>
            <w:szCs w:val="24"/>
          </w:rPr>
          <w:t>antonio.bordoni@yahoo.it</w:t>
        </w:r>
      </w:hyperlink>
    </w:p>
    <w:p w14:paraId="408FFC52" w14:textId="0116838B" w:rsidR="00E12438" w:rsidRPr="00E12438" w:rsidRDefault="00E12438" w:rsidP="009E2F0D">
      <w:pPr>
        <w:pStyle w:val="Paragrafoelenco"/>
        <w:spacing w:line="240" w:lineRule="auto"/>
        <w:rPr>
          <w:sz w:val="20"/>
          <w:szCs w:val="20"/>
        </w:rPr>
      </w:pPr>
    </w:p>
    <w:sectPr w:rsidR="00E12438" w:rsidRPr="00E124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D6F97"/>
    <w:multiLevelType w:val="hybridMultilevel"/>
    <w:tmpl w:val="75B623AA"/>
    <w:lvl w:ilvl="0" w:tplc="294A5DB6">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0123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88"/>
    <w:rsid w:val="000448D2"/>
    <w:rsid w:val="000F14A7"/>
    <w:rsid w:val="00143B76"/>
    <w:rsid w:val="001A430F"/>
    <w:rsid w:val="00326EE0"/>
    <w:rsid w:val="003B7F28"/>
    <w:rsid w:val="003C5AF8"/>
    <w:rsid w:val="00456597"/>
    <w:rsid w:val="004607FA"/>
    <w:rsid w:val="004A422A"/>
    <w:rsid w:val="004D2A23"/>
    <w:rsid w:val="004D78D3"/>
    <w:rsid w:val="004F1C88"/>
    <w:rsid w:val="00540D3A"/>
    <w:rsid w:val="005A0750"/>
    <w:rsid w:val="005E62CD"/>
    <w:rsid w:val="005E71B6"/>
    <w:rsid w:val="005F677A"/>
    <w:rsid w:val="006D1354"/>
    <w:rsid w:val="00754C84"/>
    <w:rsid w:val="008030DF"/>
    <w:rsid w:val="00881316"/>
    <w:rsid w:val="0089302A"/>
    <w:rsid w:val="009E2F0D"/>
    <w:rsid w:val="00A90719"/>
    <w:rsid w:val="00B04656"/>
    <w:rsid w:val="00B7416B"/>
    <w:rsid w:val="00BB081B"/>
    <w:rsid w:val="00BB5C5C"/>
    <w:rsid w:val="00BC30C5"/>
    <w:rsid w:val="00C039A7"/>
    <w:rsid w:val="00C31826"/>
    <w:rsid w:val="00C35586"/>
    <w:rsid w:val="00C90A2F"/>
    <w:rsid w:val="00D0344F"/>
    <w:rsid w:val="00E12438"/>
    <w:rsid w:val="00E705A7"/>
    <w:rsid w:val="00F61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A459"/>
  <w15:chartTrackingRefBased/>
  <w15:docId w15:val="{5B19B2CB-69DE-495E-9221-4EC19B63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F1C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F1C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F1C8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F1C8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F1C8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F1C8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1C8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1C8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1C8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1C8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F1C8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F1C8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F1C8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F1C8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F1C8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1C8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1C8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1C8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1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1C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1C8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1C8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1C8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1C88"/>
    <w:rPr>
      <w:i/>
      <w:iCs/>
      <w:color w:val="404040" w:themeColor="text1" w:themeTint="BF"/>
    </w:rPr>
  </w:style>
  <w:style w:type="paragraph" w:styleId="Paragrafoelenco">
    <w:name w:val="List Paragraph"/>
    <w:basedOn w:val="Normale"/>
    <w:uiPriority w:val="34"/>
    <w:qFormat/>
    <w:rsid w:val="004F1C88"/>
    <w:pPr>
      <w:ind w:left="720"/>
      <w:contextualSpacing/>
    </w:pPr>
  </w:style>
  <w:style w:type="character" w:styleId="Enfasiintensa">
    <w:name w:val="Intense Emphasis"/>
    <w:basedOn w:val="Carpredefinitoparagrafo"/>
    <w:uiPriority w:val="21"/>
    <w:qFormat/>
    <w:rsid w:val="004F1C88"/>
    <w:rPr>
      <w:i/>
      <w:iCs/>
      <w:color w:val="2F5496" w:themeColor="accent1" w:themeShade="BF"/>
    </w:rPr>
  </w:style>
  <w:style w:type="paragraph" w:styleId="Citazioneintensa">
    <w:name w:val="Intense Quote"/>
    <w:basedOn w:val="Normale"/>
    <w:next w:val="Normale"/>
    <w:link w:val="CitazioneintensaCarattere"/>
    <w:uiPriority w:val="30"/>
    <w:qFormat/>
    <w:rsid w:val="004F1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F1C88"/>
    <w:rPr>
      <w:i/>
      <w:iCs/>
      <w:color w:val="2F5496" w:themeColor="accent1" w:themeShade="BF"/>
    </w:rPr>
  </w:style>
  <w:style w:type="character" w:styleId="Riferimentointenso">
    <w:name w:val="Intense Reference"/>
    <w:basedOn w:val="Carpredefinitoparagrafo"/>
    <w:uiPriority w:val="32"/>
    <w:qFormat/>
    <w:rsid w:val="004F1C88"/>
    <w:rPr>
      <w:b/>
      <w:bCs/>
      <w:smallCaps/>
      <w:color w:val="2F5496" w:themeColor="accent1" w:themeShade="BF"/>
      <w:spacing w:val="5"/>
    </w:rPr>
  </w:style>
  <w:style w:type="character" w:styleId="Collegamentoipertestuale">
    <w:name w:val="Hyperlink"/>
    <w:basedOn w:val="Carpredefinitoparagrafo"/>
    <w:uiPriority w:val="99"/>
    <w:unhideWhenUsed/>
    <w:rsid w:val="004F1C88"/>
    <w:rPr>
      <w:color w:val="0563C1" w:themeColor="hyperlink"/>
      <w:u w:val="single"/>
    </w:rPr>
  </w:style>
  <w:style w:type="character" w:styleId="Menzionenonrisolta">
    <w:name w:val="Unresolved Mention"/>
    <w:basedOn w:val="Carpredefinitoparagrafo"/>
    <w:uiPriority w:val="99"/>
    <w:semiHidden/>
    <w:unhideWhenUsed/>
    <w:rsid w:val="004F1C88"/>
    <w:rPr>
      <w:color w:val="605E5C"/>
      <w:shd w:val="clear" w:color="auto" w:fill="E1DFDD"/>
    </w:rPr>
  </w:style>
  <w:style w:type="paragraph" w:styleId="NormaleWeb">
    <w:name w:val="Normal (Web)"/>
    <w:basedOn w:val="Normale"/>
    <w:uiPriority w:val="99"/>
    <w:semiHidden/>
    <w:unhideWhenUsed/>
    <w:rsid w:val="009E2F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4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Deutsche_Bank" TargetMode="External"/><Relationship Id="rId13" Type="http://schemas.openxmlformats.org/officeDocument/2006/relationships/hyperlink" Target="https://it.wikipedia.org/wiki/Anni_19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lpost.it/2024/12/18/unicredit-commerzbank-quota/" TargetMode="External"/><Relationship Id="rId12" Type="http://schemas.openxmlformats.org/officeDocument/2006/relationships/hyperlink" Target="https://it.wikipedia.org/wiki/Anni_1980" TargetMode="External"/><Relationship Id="rId17" Type="http://schemas.openxmlformats.org/officeDocument/2006/relationships/hyperlink" Target="mailto:antonio.bordoni@yahoo.it" TargetMode="External"/><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hyperlink" Target="https://www.ft.com/content/c3738cfa-c967-402e-9bd4-13c68bce3826" TargetMode="External"/><Relationship Id="rId11" Type="http://schemas.openxmlformats.org/officeDocument/2006/relationships/hyperlink" Target="https://it.wikipedia.org/wiki/IRI"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s://it.wikipedia.org/wiki/SME_(azien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wikipedia.org/wiki/Olaf_Scholz" TargetMode="External"/><Relationship Id="rId14" Type="http://schemas.openxmlformats.org/officeDocument/2006/relationships/hyperlink" Target="https://it.wikipedia.org/wiki/Sud_Ita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1129</Words>
  <Characters>6440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Luca Bordoni</cp:lastModifiedBy>
  <cp:revision>16</cp:revision>
  <dcterms:created xsi:type="dcterms:W3CDTF">2025-03-15T08:47:00Z</dcterms:created>
  <dcterms:modified xsi:type="dcterms:W3CDTF">2025-03-18T19:39:00Z</dcterms:modified>
</cp:coreProperties>
</file>