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9B569" w14:textId="19C67A75" w:rsidR="00ED73ED" w:rsidRPr="00293C74" w:rsidRDefault="003256CC" w:rsidP="003256CC">
      <w:pPr>
        <w:rPr>
          <w:b/>
          <w:bCs/>
          <w:i/>
          <w:iCs/>
          <w:color w:val="0070C0"/>
          <w:sz w:val="16"/>
          <w:szCs w:val="16"/>
        </w:rPr>
      </w:pPr>
      <w:r w:rsidRPr="00594E1F">
        <w:rPr>
          <w:rFonts w:cs="Arial"/>
          <w:b/>
          <w:noProof/>
          <w:color w:val="4472C4" w:themeColor="accent1"/>
          <w:sz w:val="24"/>
          <w:szCs w:val="24"/>
        </w:rPr>
        <w:drawing>
          <wp:inline distT="0" distB="0" distL="0" distR="0" wp14:anchorId="0528AA35" wp14:editId="337F7B6E">
            <wp:extent cx="1630800" cy="262800"/>
            <wp:effectExtent l="0" t="0" r="0"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0800" cy="262800"/>
                    </a:xfrm>
                    <a:prstGeom prst="rect">
                      <a:avLst/>
                    </a:prstGeom>
                  </pic:spPr>
                </pic:pic>
              </a:graphicData>
            </a:graphic>
          </wp:inline>
        </w:drawing>
      </w:r>
      <w:r w:rsidR="00293C74">
        <w:rPr>
          <w:b/>
          <w:bCs/>
          <w:color w:val="0070C0"/>
          <w:sz w:val="28"/>
          <w:szCs w:val="28"/>
        </w:rPr>
        <w:tab/>
      </w:r>
      <w:r w:rsidR="00293C74">
        <w:rPr>
          <w:b/>
          <w:bCs/>
          <w:color w:val="0070C0"/>
          <w:sz w:val="28"/>
          <w:szCs w:val="28"/>
        </w:rPr>
        <w:tab/>
      </w:r>
      <w:r w:rsidR="00293C74">
        <w:rPr>
          <w:b/>
          <w:bCs/>
          <w:color w:val="0070C0"/>
          <w:sz w:val="28"/>
          <w:szCs w:val="28"/>
        </w:rPr>
        <w:tab/>
      </w:r>
      <w:r w:rsidR="00293C74">
        <w:rPr>
          <w:b/>
          <w:bCs/>
          <w:color w:val="0070C0"/>
          <w:sz w:val="28"/>
          <w:szCs w:val="28"/>
        </w:rPr>
        <w:tab/>
      </w:r>
      <w:r w:rsidR="00293C74">
        <w:rPr>
          <w:b/>
          <w:bCs/>
          <w:color w:val="0070C0"/>
          <w:sz w:val="28"/>
          <w:szCs w:val="28"/>
        </w:rPr>
        <w:tab/>
      </w:r>
      <w:r w:rsidR="00293C74">
        <w:rPr>
          <w:b/>
          <w:bCs/>
          <w:color w:val="0070C0"/>
          <w:sz w:val="28"/>
          <w:szCs w:val="28"/>
        </w:rPr>
        <w:tab/>
      </w:r>
      <w:r w:rsidR="00293C74">
        <w:rPr>
          <w:b/>
          <w:bCs/>
          <w:color w:val="0070C0"/>
          <w:sz w:val="28"/>
          <w:szCs w:val="28"/>
        </w:rPr>
        <w:tab/>
      </w:r>
      <w:r w:rsidR="00293C74">
        <w:rPr>
          <w:b/>
          <w:bCs/>
          <w:color w:val="0070C0"/>
          <w:sz w:val="28"/>
          <w:szCs w:val="28"/>
        </w:rPr>
        <w:tab/>
      </w:r>
      <w:r w:rsidR="00293C74" w:rsidRPr="00293C74">
        <w:rPr>
          <w:i/>
          <w:iCs/>
          <w:color w:val="0070C0"/>
          <w:sz w:val="16"/>
          <w:szCs w:val="16"/>
        </w:rPr>
        <w:t>13 febbraio 2021</w:t>
      </w:r>
    </w:p>
    <w:p w14:paraId="684D78AC" w14:textId="632295CD" w:rsidR="00BE4DA4" w:rsidRPr="00ED73ED" w:rsidRDefault="00530B1D" w:rsidP="00ED73ED">
      <w:pPr>
        <w:jc w:val="center"/>
        <w:rPr>
          <w:b/>
          <w:bCs/>
          <w:color w:val="0070C0"/>
          <w:sz w:val="28"/>
          <w:szCs w:val="28"/>
        </w:rPr>
      </w:pPr>
      <w:r w:rsidRPr="00ED73ED">
        <w:rPr>
          <w:b/>
          <w:bCs/>
          <w:color w:val="0070C0"/>
          <w:sz w:val="28"/>
          <w:szCs w:val="28"/>
        </w:rPr>
        <w:t>QUEL SOGNO INFRANTO DI EUROCONTROL</w:t>
      </w:r>
    </w:p>
    <w:p w14:paraId="39CBE1D0" w14:textId="77777777" w:rsidR="00C93D25" w:rsidRDefault="00C93D25"/>
    <w:p w14:paraId="5FEC1BA8" w14:textId="427D24E2" w:rsidR="00C93D25" w:rsidRDefault="00C93D25">
      <w:r>
        <w:t xml:space="preserve">Vi immaginate gli aerei che sorvolano l’Inghilterra controllati e guidati da qualcuno che risiede a Bruxelles? E ancora, vi immaginate il traffico che sorvola i cieli parigini controllato sempre non dai francesi ma da </w:t>
      </w:r>
      <w:r w:rsidR="001D7E3D">
        <w:t>un organismo</w:t>
      </w:r>
      <w:r>
        <w:t xml:space="preserve"> che risiede all’estero?  Eppure qualcuno negli anni freschi del dopoguerra riteneva una tale ipotesi fattibile.</w:t>
      </w:r>
    </w:p>
    <w:p w14:paraId="681366C4" w14:textId="7AA9D20C" w:rsidR="00530B1D" w:rsidRDefault="00530B1D" w:rsidP="00C93D25">
      <w:pPr>
        <w:spacing w:after="0"/>
      </w:pPr>
      <w:r>
        <w:t xml:space="preserve">Correva l’anno di grazia 1960. La Germania era guidata da Konrad Adenauer, in Francia c’era </w:t>
      </w:r>
      <w:r w:rsidR="0087065A">
        <w:t>Charles De Gaulle</w:t>
      </w:r>
      <w:r>
        <w:t>, noi avevamo il governo</w:t>
      </w:r>
      <w:r w:rsidR="0087065A">
        <w:t xml:space="preserve"> (ter)</w:t>
      </w:r>
      <w:r>
        <w:t xml:space="preserve"> con</w:t>
      </w:r>
      <w:r w:rsidR="0087065A">
        <w:t xml:space="preserve"> Amintore</w:t>
      </w:r>
      <w:r>
        <w:t xml:space="preserve"> </w:t>
      </w:r>
      <w:r w:rsidR="0087065A">
        <w:t>Fanfani e Presidente della Repubblica Giovanni Gronchi</w:t>
      </w:r>
      <w:r>
        <w:t xml:space="preserve">. </w:t>
      </w:r>
    </w:p>
    <w:p w14:paraId="4E4A5368" w14:textId="48062E9C" w:rsidR="00075962" w:rsidRDefault="0087065A">
      <w:r>
        <w:t xml:space="preserve">Erano anni ancora “caldi” per i postumi della guerra e in una Europa tutta da ricostruire le </w:t>
      </w:r>
      <w:r w:rsidR="00EF3119">
        <w:t>buone</w:t>
      </w:r>
      <w:r>
        <w:t xml:space="preserve"> intenzioni </w:t>
      </w:r>
      <w:r w:rsidR="00EF3119">
        <w:t>abbondavano.</w:t>
      </w:r>
      <w:r w:rsidR="00CE300D">
        <w:t xml:space="preserve"> I cieli iniziavano a venir solcati dai</w:t>
      </w:r>
      <w:r w:rsidR="00075962">
        <w:t xml:space="preserve"> primi aerei a reazione che permettevano di collegare paesi europei con pochi minuti di volo</w:t>
      </w:r>
      <w:r w:rsidR="00CE300D">
        <w:t xml:space="preserve">. </w:t>
      </w:r>
      <w:r w:rsidR="00CE300D" w:rsidRPr="00CE300D">
        <w:rPr>
          <w:color w:val="FF0000"/>
          <w:sz w:val="18"/>
          <w:szCs w:val="18"/>
        </w:rPr>
        <w:t>(1)</w:t>
      </w:r>
      <w:r w:rsidR="00ED73ED">
        <w:rPr>
          <w:color w:val="FF0000"/>
          <w:sz w:val="18"/>
          <w:szCs w:val="18"/>
        </w:rPr>
        <w:t xml:space="preserve"> </w:t>
      </w:r>
      <w:r w:rsidR="00A61C1B">
        <w:t>Era necessario</w:t>
      </w:r>
      <w:r w:rsidR="00ED73ED">
        <w:t xml:space="preserve"> decongestionare</w:t>
      </w:r>
      <w:r w:rsidR="00F96FDF">
        <w:t xml:space="preserve"> </w:t>
      </w:r>
      <w:proofErr w:type="gramStart"/>
      <w:r w:rsidR="00F96FDF">
        <w:t>i</w:t>
      </w:r>
      <w:r w:rsidR="00ED73ED">
        <w:t xml:space="preserve">  cieli</w:t>
      </w:r>
      <w:proofErr w:type="gramEnd"/>
      <w:r w:rsidR="00ED73ED">
        <w:t xml:space="preserve"> che diventavano sempre più affollati</w:t>
      </w:r>
      <w:r w:rsidR="00F96FDF">
        <w:t xml:space="preserve"> e pericolosi.</w:t>
      </w:r>
    </w:p>
    <w:p w14:paraId="4DDDB575" w14:textId="255805B8" w:rsidR="00594E1F" w:rsidRDefault="00A61C1B" w:rsidP="00594E1F">
      <w:r>
        <w:t xml:space="preserve">Il 13 dicembre di quell’anno delegati del Belgio, della Repubblica Federale della Germania, del Lussemburgo, </w:t>
      </w:r>
      <w:proofErr w:type="gramStart"/>
      <w:r>
        <w:t>dell’Olanda  e</w:t>
      </w:r>
      <w:proofErr w:type="gramEnd"/>
      <w:r>
        <w:t xml:space="preserve"> del Regno Unito firmavano la Convenzione internazionale per la cooperazione e la sicurezza del volo a Bruxelles.  </w:t>
      </w:r>
      <w:r w:rsidR="00594E1F" w:rsidRPr="00C93D25">
        <w:rPr>
          <w:b/>
          <w:bCs/>
        </w:rPr>
        <w:t xml:space="preserve">Lo scopo originario di Eurocontrol era quello di assicurare un organismo completamente responsabile per il controllo degli </w:t>
      </w:r>
      <w:r w:rsidR="00594E1F" w:rsidRPr="00C93D25">
        <w:rPr>
          <w:b/>
          <w:bCs/>
          <w:i/>
          <w:iCs/>
        </w:rPr>
        <w:t>spazi aerei superiori</w:t>
      </w:r>
      <w:r w:rsidR="00594E1F" w:rsidRPr="00C93D25">
        <w:rPr>
          <w:b/>
          <w:bCs/>
        </w:rPr>
        <w:t xml:space="preserve"> in Europa</w:t>
      </w:r>
      <w:r w:rsidR="00594E1F">
        <w:t>. Il progetto aveva la benedizione dell’ICAO la quale vedeva con preoccupazione l’eccessiva frammentazione dei centri di controllo del traffico aereo, una frammentazione che imponeva agli equipaggi continui cambi di giurisdizione e frequenz</w:t>
      </w:r>
      <w:r w:rsidR="00744FA8">
        <w:t>e</w:t>
      </w:r>
      <w:r w:rsidR="00594E1F">
        <w:t>-radio anche durante un volo della durata di pochi minuti.</w:t>
      </w:r>
    </w:p>
    <w:p w14:paraId="01019BE1" w14:textId="77777777" w:rsidR="00744FA8" w:rsidRDefault="00075962" w:rsidP="00594E1F">
      <w:pPr>
        <w:rPr>
          <w:b/>
          <w:bCs/>
        </w:rPr>
      </w:pPr>
      <w:r w:rsidRPr="00CE300D">
        <w:rPr>
          <w:i/>
          <w:iCs/>
        </w:rPr>
        <w:t>“Per soddisfare i requisiti degli aerei a reazione</w:t>
      </w:r>
      <w:r w:rsidR="002F272F" w:rsidRPr="00CE300D">
        <w:rPr>
          <w:i/>
          <w:iCs/>
        </w:rPr>
        <w:t xml:space="preserve"> c’è la necessità di raggruppare i piccoli centri di controllo in aree più grandi particolarmente negli spazi aerei superiori. In Europa ciò ha portato alla firma del recente accordo fra sei dei sette Stati che lo scorso anno avevano annunciato l’intenzione di lanciare Eurocontrol. Questa organizzazione entrerà pienamente in vigore </w:t>
      </w:r>
      <w:proofErr w:type="spellStart"/>
      <w:r w:rsidR="002F272F" w:rsidRPr="00CE300D">
        <w:rPr>
          <w:i/>
          <w:iCs/>
        </w:rPr>
        <w:t>allorchè</w:t>
      </w:r>
      <w:proofErr w:type="spellEnd"/>
      <w:r w:rsidR="002F272F" w:rsidRPr="00CE300D">
        <w:rPr>
          <w:i/>
          <w:iCs/>
        </w:rPr>
        <w:t xml:space="preserve"> i rispettivi governi ratificheranno l’accordo. Quale passo intermedio è stata format</w:t>
      </w:r>
      <w:r w:rsidR="00CE300D">
        <w:rPr>
          <w:i/>
          <w:iCs/>
        </w:rPr>
        <w:t>a</w:t>
      </w:r>
      <w:r w:rsidR="002F272F" w:rsidRPr="00CE300D">
        <w:rPr>
          <w:i/>
          <w:iCs/>
        </w:rPr>
        <w:t xml:space="preserve"> una Associazione con la partecipazione dei sei stati, per iniziare a prepa</w:t>
      </w:r>
      <w:r w:rsidR="00CE300D">
        <w:rPr>
          <w:i/>
          <w:iCs/>
        </w:rPr>
        <w:t>ra</w:t>
      </w:r>
      <w:r w:rsidR="002F272F" w:rsidRPr="00CE300D">
        <w:rPr>
          <w:i/>
          <w:iCs/>
        </w:rPr>
        <w:t xml:space="preserve">re i testi dell’accordo definitivo. </w:t>
      </w:r>
      <w:proofErr w:type="gramStart"/>
      <w:r w:rsidR="002F272F" w:rsidRPr="00CE300D">
        <w:rPr>
          <w:i/>
          <w:iCs/>
        </w:rPr>
        <w:t>E</w:t>
      </w:r>
      <w:proofErr w:type="gramEnd"/>
      <w:r w:rsidR="002F272F" w:rsidRPr="00CE300D">
        <w:rPr>
          <w:i/>
          <w:iCs/>
        </w:rPr>
        <w:t xml:space="preserve"> augurabile che ciò che sarà raggiunto con Eurocontrol, sarà seguito anche da altri Stati, in altre aree.”</w:t>
      </w:r>
      <w:r w:rsidR="002F272F">
        <w:t xml:space="preserve"> </w:t>
      </w:r>
      <w:r w:rsidR="002F272F" w:rsidRPr="00A61C1B">
        <w:rPr>
          <w:color w:val="FF0000"/>
          <w:sz w:val="18"/>
          <w:szCs w:val="18"/>
        </w:rPr>
        <w:t>(2)</w:t>
      </w:r>
      <w:r w:rsidR="00594E1F" w:rsidRPr="00594E1F">
        <w:rPr>
          <w:b/>
          <w:bCs/>
        </w:rPr>
        <w:t xml:space="preserve"> </w:t>
      </w:r>
    </w:p>
    <w:p w14:paraId="419C244F" w14:textId="7FD130B2" w:rsidR="00075962" w:rsidRPr="00A61C1B" w:rsidRDefault="00075962">
      <w:pPr>
        <w:rPr>
          <w:color w:val="FF0000"/>
          <w:sz w:val="18"/>
          <w:szCs w:val="18"/>
        </w:rPr>
      </w:pPr>
    </w:p>
    <w:p w14:paraId="20E9D69B" w14:textId="6876AE7D" w:rsidR="00426D5D" w:rsidRDefault="00426D5D" w:rsidP="00426D5D">
      <w:pPr>
        <w:pBdr>
          <w:top w:val="single" w:sz="4" w:space="1" w:color="auto"/>
          <w:left w:val="single" w:sz="4" w:space="4" w:color="auto"/>
          <w:bottom w:val="single" w:sz="4" w:space="1" w:color="auto"/>
          <w:right w:val="single" w:sz="4" w:space="4" w:color="auto"/>
        </w:pBdr>
      </w:pPr>
      <w:r>
        <w:t xml:space="preserve">In Europa, la </w:t>
      </w:r>
      <w:r w:rsidRPr="00ED73ED">
        <w:rPr>
          <w:b/>
          <w:bCs/>
        </w:rPr>
        <w:t>regione di informazione superiore</w:t>
      </w:r>
      <w:r>
        <w:t xml:space="preserve"> (UIR) è definita come lo spazio aereo al di sopra di un livello di divisione, generalmente FL195.  Detto livello può variare nei diversi paesi. Il Maastricht </w:t>
      </w:r>
      <w:proofErr w:type="spellStart"/>
      <w:r>
        <w:t>Upper</w:t>
      </w:r>
      <w:proofErr w:type="spellEnd"/>
      <w:r>
        <w:t xml:space="preserve"> Area Control Centre (MUAC) copre lo spazio aereo sopra FL245 in Belgio, Paesi Bassi, Lussemburgo e Germania nord-occidentale. Negli Stati Uniti, gli UIR non sono utilizzati, ma i settori in rotta ad alta quota iniziano tipicamente a FL240. Lo spazio aereo superiore è controllato attraverso centri di controllo di area (ACC) in Europa o centri ATC (ATCC) negli Stati Uniti. </w:t>
      </w:r>
    </w:p>
    <w:p w14:paraId="1CFCAC54" w14:textId="77777777" w:rsidR="00C93D25" w:rsidRDefault="00C93D25" w:rsidP="00C41C03">
      <w:pPr>
        <w:spacing w:after="0"/>
      </w:pPr>
    </w:p>
    <w:p w14:paraId="42383042" w14:textId="71784CF9" w:rsidR="00ED73ED" w:rsidRDefault="00F96FDF" w:rsidP="00C41C03">
      <w:pPr>
        <w:spacing w:after="0"/>
      </w:pPr>
      <w:r>
        <w:t>L’obiettivo</w:t>
      </w:r>
      <w:r w:rsidR="00C93D25">
        <w:t>, come è facile intuire,</w:t>
      </w:r>
      <w:r>
        <w:t xml:space="preserve"> era alquanto critico e ambizioso: s</w:t>
      </w:r>
      <w:r w:rsidR="00A61C1B">
        <w:t xml:space="preserve">i trattava di far passare sotto un unico centro di controllo tutto il traffico aereo che sorvolava l’Europa dai 19.500 piedi in su. </w:t>
      </w:r>
      <w:r w:rsidR="00FC7459">
        <w:t>La Convenzione sarebbe dovuta entrare in vigore nel 1963</w:t>
      </w:r>
      <w:r w:rsidR="00A61C1B">
        <w:t xml:space="preserve"> t</w:t>
      </w:r>
      <w:r w:rsidR="00ED73ED">
        <w:t xml:space="preserve">uttavia, anche prima </w:t>
      </w:r>
      <w:r w:rsidR="00A61C1B">
        <w:t>di quella data fra gli Stati interessati</w:t>
      </w:r>
      <w:r w:rsidR="00ED73ED">
        <w:t xml:space="preserve"> </w:t>
      </w:r>
      <w:r w:rsidR="00A61C1B">
        <w:t xml:space="preserve">iniziavano a manifestarsi </w:t>
      </w:r>
      <w:proofErr w:type="spellStart"/>
      <w:r w:rsidR="00A61C1B" w:rsidRPr="00F96FDF">
        <w:rPr>
          <w:i/>
          <w:iCs/>
        </w:rPr>
        <w:t>maldipancia</w:t>
      </w:r>
      <w:proofErr w:type="spellEnd"/>
      <w:r w:rsidR="00A61C1B">
        <w:t xml:space="preserve"> sulla</w:t>
      </w:r>
      <w:r w:rsidR="00ED73ED">
        <w:t xml:space="preserve"> questione d</w:t>
      </w:r>
      <w:r w:rsidR="00A61C1B">
        <w:t xml:space="preserve">i cedere il controllo degli aerei che passavano sopra il proprio territorio ad un organismo esterno. </w:t>
      </w:r>
      <w:r>
        <w:t xml:space="preserve"> </w:t>
      </w:r>
      <w:r w:rsidR="00A61C1B">
        <w:t xml:space="preserve">Vi fu la classica “spaccatura”: </w:t>
      </w:r>
      <w:r w:rsidR="00ED73ED">
        <w:t>due degli Stati membri, Francia e Regno Unito, decisero di non</w:t>
      </w:r>
      <w:r w:rsidR="00A61C1B">
        <w:t xml:space="preserve"> </w:t>
      </w:r>
      <w:r w:rsidR="00ED73ED">
        <w:t>sostenere il concetto di un'Agenzia esecutiva per ragioni strettamente legate al controllo dello spazio aereo militare nazionale.</w:t>
      </w:r>
      <w:r w:rsidR="00A61C1B">
        <w:t xml:space="preserve"> </w:t>
      </w:r>
      <w:r w:rsidR="00ED73ED">
        <w:t>Gli altri quattro Stati membri (Repubblica Federale di Germania, Belgio, Paesi Bassi e Lussemburgo) si accordarono</w:t>
      </w:r>
      <w:r w:rsidR="00A61C1B">
        <w:t xml:space="preserve"> </w:t>
      </w:r>
      <w:r w:rsidR="00ED73ED">
        <w:t xml:space="preserve">nel 1964 </w:t>
      </w:r>
      <w:r w:rsidR="00332AE7">
        <w:t>per</w:t>
      </w:r>
      <w:r w:rsidR="00ED73ED">
        <w:t xml:space="preserve"> istituire un unico centro </w:t>
      </w:r>
      <w:r w:rsidR="00ED73ED">
        <w:lastRenderedPageBreak/>
        <w:t xml:space="preserve">internazionale di controllo del traffico aereo </w:t>
      </w:r>
      <w:r w:rsidR="00332AE7">
        <w:t>che doveva gestire</w:t>
      </w:r>
      <w:r w:rsidR="00ED73ED">
        <w:t xml:space="preserve"> il loro spazio aereo superiore, scegliendo Maastricht nei Paesi Bassi</w:t>
      </w:r>
      <w:r w:rsidR="00C93D25">
        <w:t xml:space="preserve"> quale località ove situare </w:t>
      </w:r>
      <w:r w:rsidR="00744FA8">
        <w:t>la struttura operativa</w:t>
      </w:r>
      <w:r w:rsidR="00ED73ED">
        <w:t xml:space="preserve">. </w:t>
      </w:r>
    </w:p>
    <w:p w14:paraId="4AE532D3" w14:textId="3772FDCD" w:rsidR="00C41C03" w:rsidRDefault="00C93D25" w:rsidP="00C41C03">
      <w:pPr>
        <w:spacing w:after="0"/>
      </w:pPr>
      <w:r>
        <w:t>Nel frattempo, n</w:t>
      </w:r>
      <w:r w:rsidR="00C41C03">
        <w:t>el 1965</w:t>
      </w:r>
      <w:r>
        <w:t>,</w:t>
      </w:r>
      <w:r w:rsidR="00C41C03">
        <w:t xml:space="preserve"> anche l’Irlanda aveva aderito alla Convenzione ma senza delegare il controllo del suo spazio aereo.</w:t>
      </w:r>
    </w:p>
    <w:p w14:paraId="517F7A1D" w14:textId="77777777" w:rsidR="001D7E3D" w:rsidRDefault="001D7E3D" w:rsidP="00C41C03">
      <w:pPr>
        <w:spacing w:after="0"/>
      </w:pPr>
    </w:p>
    <w:p w14:paraId="1B099E99" w14:textId="43E5FD8A" w:rsidR="00C93D25" w:rsidRDefault="00C93D25" w:rsidP="006E550A">
      <w:pPr>
        <w:spacing w:after="0" w:line="276" w:lineRule="auto"/>
      </w:pPr>
      <w:r>
        <w:t>Cert</w:t>
      </w:r>
      <w:r w:rsidR="00744FA8">
        <w:t>amente per convincere i titubanti</w:t>
      </w:r>
      <w:r>
        <w:t xml:space="preserve"> si poteva sostenere che nella realizzazione di questo progetto gli Stati europei non cedevano la loro sovranità, ma semplicemente conferivano </w:t>
      </w:r>
      <w:r w:rsidR="00332AE7">
        <w:t>“</w:t>
      </w:r>
      <w:r>
        <w:t>parte</w:t>
      </w:r>
      <w:r w:rsidR="00332AE7">
        <w:t>”</w:t>
      </w:r>
      <w:r>
        <w:t xml:space="preserve"> di questa sovranità a un'istanza superiore l'Unione Europea, nell'esercizio dei loro diritti sovrani, </w:t>
      </w:r>
      <w:r w:rsidR="00332AE7">
        <w:t>tuttavi</w:t>
      </w:r>
      <w:r>
        <w:t>a una tale teoria non bastava a convincere i governi</w:t>
      </w:r>
      <w:r w:rsidR="00744FA8">
        <w:t xml:space="preserve"> ma soprattutto gli </w:t>
      </w:r>
      <w:r w:rsidR="00332AE7">
        <w:t>organi</w:t>
      </w:r>
      <w:r w:rsidR="00744FA8">
        <w:t xml:space="preserve"> militari degli stessi.</w:t>
      </w:r>
      <w:r>
        <w:t xml:space="preserve"> </w:t>
      </w:r>
    </w:p>
    <w:p w14:paraId="5B161D29" w14:textId="4C54984F" w:rsidR="00C93D25" w:rsidRDefault="00744FA8" w:rsidP="006E550A">
      <w:pPr>
        <w:spacing w:after="0" w:line="276" w:lineRule="auto"/>
      </w:pPr>
      <w:r>
        <w:t xml:space="preserve">Va pure detto che con il </w:t>
      </w:r>
      <w:r w:rsidR="00C93D25">
        <w:t xml:space="preserve">passare degli anni il concetto di sovranità si è notevolmente evoluto. In campo economico, il progressivo passaggio dal bilateralismo al multilateralismo, l'accordo sui cieli aperti, la delega degli Stati di parte dei loro poteri sovrani a organizzazioni sovranazionali come l'Unione Europea allo scopo di stipulare accordi plurilaterali sull'aviazione o l'emergere di preoccupazioni ambientali come l'inclusione dell'aviazione nel sistema europeo di scambio delle emissioni, </w:t>
      </w:r>
      <w:r>
        <w:t>tutto conduce alla conclusione</w:t>
      </w:r>
      <w:r w:rsidR="00C93D25">
        <w:t xml:space="preserve"> che molti aspetti corollari al concetto di sovranità sono stati </w:t>
      </w:r>
      <w:r w:rsidR="006E550A">
        <w:t xml:space="preserve">in pratica già </w:t>
      </w:r>
      <w:r w:rsidR="00C93D25">
        <w:t>devoluti a terzi.</w:t>
      </w:r>
    </w:p>
    <w:p w14:paraId="164689AE" w14:textId="77777777" w:rsidR="006E550A" w:rsidRDefault="006E550A" w:rsidP="006E550A">
      <w:pPr>
        <w:spacing w:after="0" w:line="276" w:lineRule="auto"/>
      </w:pPr>
    </w:p>
    <w:p w14:paraId="7A6995F7" w14:textId="5133F1C5" w:rsidR="00C93D25" w:rsidRDefault="00C93D25" w:rsidP="00A82C5F">
      <w:pPr>
        <w:spacing w:after="0" w:line="276" w:lineRule="auto"/>
      </w:pPr>
      <w:r>
        <w:t xml:space="preserve">D’altra parte </w:t>
      </w:r>
      <w:r w:rsidR="006E550A">
        <w:t xml:space="preserve">però </w:t>
      </w:r>
      <w:r>
        <w:t xml:space="preserve">non bisogna dimenticare </w:t>
      </w:r>
      <w:r w:rsidR="006E550A">
        <w:t>un altro</w:t>
      </w:r>
      <w:r w:rsidR="007B2722">
        <w:t>,</w:t>
      </w:r>
      <w:r w:rsidR="006E550A">
        <w:t xml:space="preserve"> non secondario aspetto.</w:t>
      </w:r>
      <w:r w:rsidR="007B2722">
        <w:t xml:space="preserve"> </w:t>
      </w:r>
      <w:r w:rsidR="006E550A">
        <w:t>G</w:t>
      </w:r>
      <w:r>
        <w:t xml:space="preserve">li attacchi terroristici dell'11 settembre negli Stati Uniti, le questioni relative alla protezione della sicurezza nazionale </w:t>
      </w:r>
      <w:r w:rsidR="007B2722">
        <w:t xml:space="preserve">rimangono </w:t>
      </w:r>
      <w:r w:rsidR="00332AE7">
        <w:t xml:space="preserve">temi </w:t>
      </w:r>
      <w:r>
        <w:t xml:space="preserve">di primaria importanza. </w:t>
      </w:r>
      <w:r w:rsidR="00A82C5F">
        <w:t xml:space="preserve">E proprio a causa di ciò e malgrado i cambiamenti </w:t>
      </w:r>
      <w:proofErr w:type="gramStart"/>
      <w:r w:rsidR="00A82C5F">
        <w:t>avvenuti  a</w:t>
      </w:r>
      <w:proofErr w:type="gramEnd"/>
      <w:r w:rsidR="00A82C5F">
        <w:t xml:space="preserve"> livello di scambi internazionali, </w:t>
      </w:r>
      <w:r>
        <w:t xml:space="preserve"> il concetto di sovranità nell'aria rimarrà probabilmente un principio che continuerà a proteggere gli Stati contro le interferenze di governi stranieri</w:t>
      </w:r>
      <w:r w:rsidR="00A82C5F">
        <w:t>.</w:t>
      </w:r>
      <w:r>
        <w:t xml:space="preserve"> </w:t>
      </w:r>
    </w:p>
    <w:p w14:paraId="319422D9" w14:textId="77777777" w:rsidR="00C93D25" w:rsidRDefault="00C93D25" w:rsidP="00C41C03">
      <w:pPr>
        <w:spacing w:after="0"/>
      </w:pPr>
    </w:p>
    <w:p w14:paraId="589A5640" w14:textId="08E9C760" w:rsidR="00A82C5F" w:rsidRDefault="001D7E3D" w:rsidP="005D449F">
      <w:r>
        <w:t xml:space="preserve">A febbraio 1972 il Centro di </w:t>
      </w:r>
      <w:proofErr w:type="spellStart"/>
      <w:r>
        <w:t>Maatricht</w:t>
      </w:r>
      <w:proofErr w:type="spellEnd"/>
      <w:r>
        <w:t xml:space="preserve"> oggi denominato MUAC, codice ICAO EDYY,</w:t>
      </w:r>
      <w:r w:rsidR="007B2722">
        <w:t xml:space="preserve"> entrava in funzione</w:t>
      </w:r>
      <w:r w:rsidR="00A1782D">
        <w:t xml:space="preserve"> conglobando le seguenti aree:</w:t>
      </w:r>
    </w:p>
    <w:p w14:paraId="72687085" w14:textId="62B13089" w:rsidR="00C41C03" w:rsidRDefault="00C41C03" w:rsidP="00C41C03">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 xml:space="preserve">Germania </w:t>
      </w:r>
      <w:r>
        <w:rPr>
          <w:rFonts w:ascii="TimesNewRoman" w:hAnsi="TimesNewRoman" w:cs="TimesNewRoman"/>
          <w:sz w:val="18"/>
          <w:szCs w:val="18"/>
        </w:rPr>
        <w:tab/>
        <w:t>Regione superiore d’informazione di volo Hannover</w:t>
      </w:r>
    </w:p>
    <w:p w14:paraId="2BB19454" w14:textId="77777777" w:rsidR="00C41C03" w:rsidRDefault="00C41C03" w:rsidP="00C41C03">
      <w:pPr>
        <w:autoSpaceDE w:val="0"/>
        <w:autoSpaceDN w:val="0"/>
        <w:adjustRightInd w:val="0"/>
        <w:spacing w:after="0" w:line="240" w:lineRule="auto"/>
        <w:ind w:left="708" w:firstLine="708"/>
        <w:rPr>
          <w:rFonts w:ascii="TimesNewRoman" w:hAnsi="TimesNewRoman" w:cs="TimesNewRoman"/>
          <w:sz w:val="18"/>
          <w:szCs w:val="18"/>
        </w:rPr>
      </w:pPr>
      <w:r>
        <w:rPr>
          <w:rFonts w:ascii="TimesNewRoman" w:hAnsi="TimesNewRoman" w:cs="TimesNewRoman"/>
          <w:sz w:val="18"/>
          <w:szCs w:val="18"/>
        </w:rPr>
        <w:t xml:space="preserve">Regione superiore d’informazione di volo </w:t>
      </w:r>
      <w:proofErr w:type="spellStart"/>
      <w:r>
        <w:rPr>
          <w:rFonts w:ascii="TimesNewRoman" w:hAnsi="TimesNewRoman" w:cs="TimesNewRoman"/>
          <w:sz w:val="18"/>
          <w:szCs w:val="18"/>
        </w:rPr>
        <w:t>Rhein</w:t>
      </w:r>
      <w:proofErr w:type="spellEnd"/>
    </w:p>
    <w:p w14:paraId="569437A7" w14:textId="77777777" w:rsidR="00C41C03" w:rsidRDefault="00C41C03" w:rsidP="00C41C03">
      <w:pPr>
        <w:autoSpaceDE w:val="0"/>
        <w:autoSpaceDN w:val="0"/>
        <w:adjustRightInd w:val="0"/>
        <w:spacing w:after="0" w:line="240" w:lineRule="auto"/>
        <w:ind w:left="708" w:firstLine="708"/>
        <w:rPr>
          <w:rFonts w:ascii="TimesNewRoman" w:hAnsi="TimesNewRoman" w:cs="TimesNewRoman"/>
          <w:sz w:val="18"/>
          <w:szCs w:val="18"/>
        </w:rPr>
      </w:pPr>
      <w:r>
        <w:rPr>
          <w:rFonts w:ascii="TimesNewRoman" w:hAnsi="TimesNewRoman" w:cs="TimesNewRoman"/>
          <w:sz w:val="18"/>
          <w:szCs w:val="18"/>
        </w:rPr>
        <w:t>Regione d’informazione di volo Bremen</w:t>
      </w:r>
    </w:p>
    <w:p w14:paraId="0F27D30B" w14:textId="77777777" w:rsidR="00C41C03" w:rsidRDefault="00C41C03" w:rsidP="00C41C03">
      <w:pPr>
        <w:autoSpaceDE w:val="0"/>
        <w:autoSpaceDN w:val="0"/>
        <w:adjustRightInd w:val="0"/>
        <w:spacing w:after="0" w:line="240" w:lineRule="auto"/>
        <w:ind w:left="708" w:firstLine="708"/>
        <w:rPr>
          <w:rFonts w:ascii="TimesNewRoman" w:hAnsi="TimesNewRoman" w:cs="TimesNewRoman"/>
          <w:sz w:val="18"/>
          <w:szCs w:val="18"/>
        </w:rPr>
      </w:pPr>
      <w:r>
        <w:rPr>
          <w:rFonts w:ascii="TimesNewRoman" w:hAnsi="TimesNewRoman" w:cs="TimesNewRoman"/>
          <w:sz w:val="18"/>
          <w:szCs w:val="18"/>
        </w:rPr>
        <w:t>Regione d’informazione di volo Düsseldorf</w:t>
      </w:r>
    </w:p>
    <w:p w14:paraId="05D80A84" w14:textId="77777777" w:rsidR="00C41C03" w:rsidRDefault="00C41C03" w:rsidP="00C41C03">
      <w:pPr>
        <w:autoSpaceDE w:val="0"/>
        <w:autoSpaceDN w:val="0"/>
        <w:adjustRightInd w:val="0"/>
        <w:spacing w:after="0" w:line="240" w:lineRule="auto"/>
        <w:ind w:left="708" w:firstLine="708"/>
        <w:rPr>
          <w:rFonts w:ascii="TimesNewRoman" w:hAnsi="TimesNewRoman" w:cs="TimesNewRoman"/>
          <w:sz w:val="18"/>
          <w:szCs w:val="18"/>
        </w:rPr>
      </w:pPr>
      <w:r>
        <w:rPr>
          <w:rFonts w:ascii="TimesNewRoman" w:hAnsi="TimesNewRoman" w:cs="TimesNewRoman"/>
          <w:sz w:val="18"/>
          <w:szCs w:val="18"/>
        </w:rPr>
        <w:t>Regione d’informazione di volo Francoforte</w:t>
      </w:r>
    </w:p>
    <w:p w14:paraId="4C18224C" w14:textId="77777777" w:rsidR="00C41C03" w:rsidRDefault="00C41C03" w:rsidP="00C41C03">
      <w:pPr>
        <w:autoSpaceDE w:val="0"/>
        <w:autoSpaceDN w:val="0"/>
        <w:adjustRightInd w:val="0"/>
        <w:spacing w:after="0" w:line="240" w:lineRule="auto"/>
        <w:ind w:left="708" w:firstLine="708"/>
        <w:rPr>
          <w:rFonts w:ascii="TimesNewRoman" w:hAnsi="TimesNewRoman" w:cs="TimesNewRoman"/>
          <w:sz w:val="18"/>
          <w:szCs w:val="18"/>
        </w:rPr>
      </w:pPr>
      <w:r>
        <w:rPr>
          <w:rFonts w:ascii="TimesNewRoman" w:hAnsi="TimesNewRoman" w:cs="TimesNewRoman"/>
          <w:sz w:val="18"/>
          <w:szCs w:val="18"/>
        </w:rPr>
        <w:t>Regione d’informazione di volo Monaco</w:t>
      </w:r>
    </w:p>
    <w:p w14:paraId="7413841C" w14:textId="7097761E" w:rsidR="00C41C03" w:rsidRDefault="00C41C03" w:rsidP="00C41C03">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Regno del Belgio   Regione superiore d’informazione di volo Bruxelles</w:t>
      </w:r>
    </w:p>
    <w:p w14:paraId="7046C1A2" w14:textId="4C612C5C" w:rsidR="00C41C03" w:rsidRDefault="00C41C03" w:rsidP="00C41C03">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 xml:space="preserve">Granducato del Lussemburgo </w:t>
      </w:r>
    </w:p>
    <w:p w14:paraId="00E80062" w14:textId="083E463A" w:rsidR="00C41C03" w:rsidRDefault="00C41C03" w:rsidP="00C41C03">
      <w:pPr>
        <w:rPr>
          <w:rFonts w:ascii="TimesNewRoman" w:hAnsi="TimesNewRoman" w:cs="TimesNewRoman"/>
          <w:sz w:val="18"/>
          <w:szCs w:val="18"/>
        </w:rPr>
      </w:pPr>
      <w:r>
        <w:rPr>
          <w:rFonts w:ascii="TimesNewRoman" w:hAnsi="TimesNewRoman" w:cs="TimesNewRoman"/>
          <w:sz w:val="18"/>
          <w:szCs w:val="18"/>
        </w:rPr>
        <w:t>Regno dei Paesi-Bassi Regione d’informazione di volo Amsterdam</w:t>
      </w:r>
    </w:p>
    <w:p w14:paraId="5818CD26" w14:textId="61A7DC82" w:rsidR="00A82C5F" w:rsidRDefault="00A82C5F" w:rsidP="00C41C03">
      <w:r>
        <w:t xml:space="preserve">Il MUAC </w:t>
      </w:r>
      <w:proofErr w:type="gramStart"/>
      <w:r>
        <w:t>fornisce  il</w:t>
      </w:r>
      <w:proofErr w:type="gramEnd"/>
      <w:r>
        <w:t xml:space="preserve"> servizio di controllo navigazione aerea civile e militare nello spazio aereo superiore da FL 245 a FL 660 ovvero da 24.500 piedi a 66.000 piedi.</w:t>
      </w:r>
    </w:p>
    <w:p w14:paraId="585683F4" w14:textId="77777777" w:rsidR="0087708B" w:rsidRPr="0087708B" w:rsidRDefault="0087708B" w:rsidP="0087708B">
      <w:pPr>
        <w:shd w:val="clear" w:color="auto" w:fill="FFFFFF"/>
        <w:spacing w:after="0" w:line="0" w:lineRule="auto"/>
        <w:rPr>
          <w:rFonts w:ascii="pg-1ff9" w:eastAsia="Times New Roman" w:hAnsi="pg-1ff9" w:cs="Times New Roman"/>
          <w:color w:val="000000"/>
          <w:sz w:val="66"/>
          <w:szCs w:val="66"/>
          <w:lang w:eastAsia="it-IT"/>
        </w:rPr>
      </w:pPr>
      <w:r w:rsidRPr="0087708B">
        <w:rPr>
          <w:rFonts w:ascii="pg-1ff9" w:eastAsia="Times New Roman" w:hAnsi="pg-1ff9" w:cs="Times New Roman"/>
          <w:color w:val="000000"/>
          <w:sz w:val="66"/>
          <w:szCs w:val="66"/>
          <w:lang w:eastAsia="it-IT"/>
        </w:rPr>
        <w:t>--)# #&lt;=#)##2)</w:t>
      </w:r>
    </w:p>
    <w:p w14:paraId="0A10FF89" w14:textId="77777777" w:rsidR="0087708B" w:rsidRPr="0087708B" w:rsidRDefault="0087708B" w:rsidP="0087708B">
      <w:pPr>
        <w:shd w:val="clear" w:color="auto" w:fill="FFFFFF"/>
        <w:spacing w:after="0" w:line="0" w:lineRule="auto"/>
        <w:rPr>
          <w:rFonts w:ascii="pg-1ff9" w:eastAsia="Times New Roman" w:hAnsi="pg-1ff9" w:cs="Times New Roman"/>
          <w:color w:val="000000"/>
          <w:sz w:val="66"/>
          <w:szCs w:val="66"/>
          <w:lang w:eastAsia="it-IT"/>
        </w:rPr>
      </w:pPr>
      <w:r w:rsidRPr="0087708B">
        <w:rPr>
          <w:rFonts w:ascii="pg-1ff9" w:eastAsia="Times New Roman" w:hAnsi="pg-1ff9" w:cs="Times New Roman"/>
          <w:color w:val="000000"/>
          <w:sz w:val="66"/>
          <w:szCs w:val="66"/>
          <w:lang w:eastAsia="it-IT"/>
        </w:rPr>
        <w:t>)-#))&amp;#)1&amp;</w:t>
      </w:r>
    </w:p>
    <w:p w14:paraId="4927E0B8" w14:textId="77777777" w:rsidR="0087708B" w:rsidRPr="0087708B" w:rsidRDefault="0087708B" w:rsidP="0087708B">
      <w:pPr>
        <w:shd w:val="clear" w:color="auto" w:fill="FFFFFF"/>
        <w:spacing w:after="0" w:line="0" w:lineRule="auto"/>
        <w:rPr>
          <w:rFonts w:ascii="pg-1ff9" w:eastAsia="Times New Roman" w:hAnsi="pg-1ff9" w:cs="Times New Roman"/>
          <w:color w:val="000000"/>
          <w:sz w:val="66"/>
          <w:szCs w:val="66"/>
          <w:lang w:eastAsia="it-IT"/>
        </w:rPr>
      </w:pPr>
      <w:r w:rsidRPr="0087708B">
        <w:rPr>
          <w:rFonts w:ascii="pg-1ff9" w:eastAsia="Times New Roman" w:hAnsi="pg-1ff9" w:cs="Times New Roman"/>
          <w:color w:val="000000"/>
          <w:sz w:val="66"/>
          <w:szCs w:val="66"/>
          <w:lang w:eastAsia="it-IT"/>
        </w:rPr>
        <w:t>#%#&amp;##)17</w:t>
      </w:r>
    </w:p>
    <w:p w14:paraId="19E4C44B" w14:textId="77777777" w:rsidR="0087708B" w:rsidRPr="0087708B" w:rsidRDefault="0087708B" w:rsidP="0087708B">
      <w:pPr>
        <w:shd w:val="clear" w:color="auto" w:fill="FFFFFF"/>
        <w:spacing w:after="0" w:line="0" w:lineRule="auto"/>
        <w:rPr>
          <w:rFonts w:ascii="pg-1ff9" w:eastAsia="Times New Roman" w:hAnsi="pg-1ff9" w:cs="Times New Roman"/>
          <w:color w:val="000000"/>
          <w:sz w:val="66"/>
          <w:szCs w:val="66"/>
          <w:lang w:eastAsia="it-IT"/>
        </w:rPr>
      </w:pPr>
      <w:r w:rsidRPr="0087708B">
        <w:rPr>
          <w:rFonts w:ascii="pg-1ff9" w:eastAsia="Times New Roman" w:hAnsi="pg-1ff9" w:cs="Times New Roman"/>
          <w:color w:val="000000"/>
          <w:sz w:val="66"/>
          <w:szCs w:val="66"/>
          <w:lang w:eastAsia="it-IT"/>
        </w:rPr>
        <w:t>&amp;#1*&amp;&amp;+&gt;-</w:t>
      </w:r>
    </w:p>
    <w:p w14:paraId="784B35BA" w14:textId="77777777" w:rsidR="0087708B" w:rsidRPr="0087708B" w:rsidRDefault="0087708B" w:rsidP="0087708B">
      <w:pPr>
        <w:shd w:val="clear" w:color="auto" w:fill="FFFFFF"/>
        <w:spacing w:after="0" w:line="0" w:lineRule="auto"/>
        <w:rPr>
          <w:rFonts w:ascii="pg-1ff9" w:eastAsia="Times New Roman" w:hAnsi="pg-1ff9" w:cs="Times New Roman"/>
          <w:color w:val="000000"/>
          <w:sz w:val="66"/>
          <w:szCs w:val="66"/>
          <w:lang w:eastAsia="it-IT"/>
        </w:rPr>
      </w:pPr>
      <w:r w:rsidRPr="0087708B">
        <w:rPr>
          <w:rFonts w:ascii="pg-1ff9" w:eastAsia="Times New Roman" w:hAnsi="pg-1ff9" w:cs="Times New Roman"/>
          <w:color w:val="000000"/>
          <w:sz w:val="66"/>
          <w:szCs w:val="66"/>
          <w:lang w:eastAsia="it-IT"/>
        </w:rPr>
        <w:t>#+-$)1)</w:t>
      </w:r>
      <w:proofErr w:type="gramStart"/>
      <w:r w:rsidRPr="0087708B">
        <w:rPr>
          <w:rFonts w:ascii="pg-1ff9" w:eastAsia="Times New Roman" w:hAnsi="pg-1ff9" w:cs="Times New Roman"/>
          <w:color w:val="000000"/>
          <w:sz w:val="66"/>
          <w:szCs w:val="66"/>
          <w:lang w:eastAsia="it-IT"/>
        </w:rPr>
        <w:t>)-</w:t>
      </w:r>
      <w:proofErr w:type="gramEnd"/>
      <w:r w:rsidRPr="0087708B">
        <w:rPr>
          <w:rFonts w:ascii="pg-1ff9" w:eastAsia="Times New Roman" w:hAnsi="pg-1ff9" w:cs="Times New Roman"/>
          <w:color w:val="000000"/>
          <w:sz w:val="66"/>
          <w:szCs w:val="66"/>
          <w:lang w:eastAsia="it-IT"/>
        </w:rPr>
        <w:t>#)</w:t>
      </w:r>
    </w:p>
    <w:p w14:paraId="78592185" w14:textId="77777777" w:rsidR="0087708B" w:rsidRPr="0087708B" w:rsidRDefault="0087708B" w:rsidP="0087708B">
      <w:pPr>
        <w:shd w:val="clear" w:color="auto" w:fill="FFFFFF"/>
        <w:spacing w:after="0" w:line="0" w:lineRule="auto"/>
        <w:rPr>
          <w:rFonts w:ascii="pg-1ff9" w:eastAsia="Times New Roman" w:hAnsi="pg-1ff9" w:cs="Times New Roman"/>
          <w:color w:val="000000"/>
          <w:sz w:val="66"/>
          <w:szCs w:val="66"/>
          <w:lang w:eastAsia="it-IT"/>
        </w:rPr>
      </w:pPr>
      <w:r w:rsidRPr="0087708B">
        <w:rPr>
          <w:rFonts w:ascii="pg-1ff9" w:eastAsia="Times New Roman" w:hAnsi="pg-1ff9" w:cs="Times New Roman"/>
          <w:color w:val="000000"/>
          <w:sz w:val="66"/>
          <w:szCs w:val="66"/>
          <w:lang w:eastAsia="it-IT"/>
        </w:rPr>
        <w:t>11#)</w:t>
      </w:r>
      <w:proofErr w:type="gramStart"/>
      <w:r w:rsidRPr="0087708B">
        <w:rPr>
          <w:rFonts w:ascii="pg-1ff9" w:eastAsia="Times New Roman" w:hAnsi="pg-1ff9" w:cs="Times New Roman"/>
          <w:color w:val="000000"/>
          <w:sz w:val="66"/>
          <w:szCs w:val="66"/>
          <w:lang w:eastAsia="it-IT"/>
        </w:rPr>
        <w:t>)-</w:t>
      </w:r>
      <w:proofErr w:type="gramEnd"/>
      <w:r w:rsidRPr="0087708B">
        <w:rPr>
          <w:rFonts w:ascii="pg-1ff9" w:eastAsia="Times New Roman" w:hAnsi="pg-1ff9" w:cs="Times New Roman"/>
          <w:color w:val="000000"/>
          <w:sz w:val="66"/>
          <w:szCs w:val="66"/>
          <w:lang w:eastAsia="it-IT"/>
        </w:rPr>
        <w:t>)=--*)&amp;0</w:t>
      </w:r>
    </w:p>
    <w:p w14:paraId="0E67DC63" w14:textId="77777777" w:rsidR="0087708B" w:rsidRPr="0087708B" w:rsidRDefault="0087708B" w:rsidP="0087708B">
      <w:pPr>
        <w:shd w:val="clear" w:color="auto" w:fill="FFFFFF"/>
        <w:spacing w:after="0" w:line="0" w:lineRule="auto"/>
        <w:rPr>
          <w:rFonts w:ascii="pg-1ff9" w:eastAsia="Times New Roman" w:hAnsi="pg-1ff9" w:cs="Times New Roman"/>
          <w:color w:val="000000"/>
          <w:sz w:val="66"/>
          <w:szCs w:val="66"/>
          <w:lang w:eastAsia="it-IT"/>
        </w:rPr>
      </w:pPr>
      <w:r w:rsidRPr="0087708B">
        <w:rPr>
          <w:rFonts w:ascii="pg-1ff9" w:eastAsia="Times New Roman" w:hAnsi="pg-1ff9" w:cs="Times New Roman"/>
          <w:color w:val="000000"/>
          <w:sz w:val="66"/>
          <w:szCs w:val="66"/>
          <w:lang w:eastAsia="it-IT"/>
        </w:rPr>
        <w:t> #&lt;#&amp;&amp;#</w:t>
      </w:r>
    </w:p>
    <w:p w14:paraId="417E7930" w14:textId="77777777" w:rsidR="0087708B" w:rsidRPr="0087708B" w:rsidRDefault="0087708B" w:rsidP="0087708B">
      <w:pPr>
        <w:shd w:val="clear" w:color="auto" w:fill="FFFFFF"/>
        <w:spacing w:after="0" w:line="0" w:lineRule="auto"/>
        <w:rPr>
          <w:rFonts w:ascii="pg-1ff9" w:eastAsia="Times New Roman" w:hAnsi="pg-1ff9" w:cs="Times New Roman"/>
          <w:color w:val="000000"/>
          <w:sz w:val="66"/>
          <w:szCs w:val="66"/>
          <w:lang w:eastAsia="it-IT"/>
        </w:rPr>
      </w:pPr>
      <w:r w:rsidRPr="0087708B">
        <w:rPr>
          <w:rFonts w:ascii="pg-1ff9" w:eastAsia="Times New Roman" w:hAnsi="pg-1ff9" w:cs="Times New Roman"/>
          <w:color w:val="000000"/>
          <w:sz w:val="66"/>
          <w:szCs w:val="66"/>
          <w:lang w:eastAsia="it-IT"/>
        </w:rPr>
        <w:t>##-)&amp;) *#))# </w:t>
      </w:r>
    </w:p>
    <w:p w14:paraId="2BFBFB42" w14:textId="77777777" w:rsidR="0087708B" w:rsidRPr="0087708B" w:rsidRDefault="0087708B" w:rsidP="0087708B">
      <w:pPr>
        <w:shd w:val="clear" w:color="auto" w:fill="FFFFFF"/>
        <w:spacing w:after="0" w:line="0" w:lineRule="auto"/>
        <w:rPr>
          <w:rFonts w:ascii="pg-1ff9" w:eastAsia="Times New Roman" w:hAnsi="pg-1ff9" w:cs="Times New Roman"/>
          <w:color w:val="000000"/>
          <w:sz w:val="66"/>
          <w:szCs w:val="66"/>
          <w:lang w:eastAsia="it-IT"/>
        </w:rPr>
      </w:pPr>
      <w:r w:rsidRPr="0087708B">
        <w:rPr>
          <w:rFonts w:ascii="pg-1ff9" w:eastAsia="Times New Roman" w:hAnsi="pg-1ff9" w:cs="Times New Roman"/>
          <w:color w:val="000000"/>
          <w:sz w:val="66"/>
          <w:szCs w:val="66"/>
          <w:lang w:eastAsia="it-IT"/>
        </w:rPr>
        <w:t xml:space="preserve"># *#&amp;1 </w:t>
      </w:r>
      <w:proofErr w:type="gramStart"/>
      <w:r w:rsidRPr="0087708B">
        <w:rPr>
          <w:rFonts w:ascii="pg-1ff9" w:eastAsia="Times New Roman" w:hAnsi="pg-1ff9" w:cs="Times New Roman"/>
          <w:color w:val="000000"/>
          <w:sz w:val="66"/>
          <w:szCs w:val="66"/>
          <w:lang w:eastAsia="it-IT"/>
        </w:rPr>
        <w:t>)-</w:t>
      </w:r>
      <w:proofErr w:type="gramEnd"/>
      <w:r w:rsidRPr="0087708B">
        <w:rPr>
          <w:rFonts w:ascii="pg-1ff9" w:eastAsia="Times New Roman" w:hAnsi="pg-1ff9" w:cs="Times New Roman"/>
          <w:color w:val="000000"/>
          <w:sz w:val="66"/>
          <w:szCs w:val="66"/>
          <w:lang w:eastAsia="it-IT"/>
        </w:rPr>
        <w:t>%#&amp;7&amp;"&amp;&amp;</w:t>
      </w:r>
    </w:p>
    <w:p w14:paraId="7CE2DE20" w14:textId="77777777" w:rsidR="0087708B" w:rsidRPr="0087708B" w:rsidRDefault="0087708B" w:rsidP="0087708B">
      <w:pPr>
        <w:shd w:val="clear" w:color="auto" w:fill="FFFFFF"/>
        <w:spacing w:after="0" w:line="0" w:lineRule="auto"/>
        <w:rPr>
          <w:rFonts w:ascii="pg-1ff9" w:eastAsia="Times New Roman" w:hAnsi="pg-1ff9" w:cs="Times New Roman"/>
          <w:color w:val="000000"/>
          <w:sz w:val="66"/>
          <w:szCs w:val="66"/>
          <w:lang w:eastAsia="it-IT"/>
        </w:rPr>
      </w:pPr>
      <w:r w:rsidRPr="0087708B">
        <w:rPr>
          <w:rFonts w:ascii="pg-1ff9" w:eastAsia="Times New Roman" w:hAnsi="pg-1ff9" w:cs="Times New Roman"/>
          <w:color w:val="000000"/>
          <w:sz w:val="66"/>
          <w:szCs w:val="66"/>
          <w:lang w:eastAsia="it-IT"/>
        </w:rPr>
        <w:t>#))# </w:t>
      </w:r>
    </w:p>
    <w:p w14:paraId="267078F3" w14:textId="77777777" w:rsidR="0087708B" w:rsidRPr="0087708B" w:rsidRDefault="0087708B" w:rsidP="0087708B">
      <w:pPr>
        <w:shd w:val="clear" w:color="auto" w:fill="FFFFFF"/>
        <w:spacing w:after="0" w:line="0" w:lineRule="auto"/>
        <w:rPr>
          <w:rFonts w:ascii="pg-1ff9" w:eastAsia="Times New Roman" w:hAnsi="pg-1ff9" w:cs="Times New Roman"/>
          <w:color w:val="000000"/>
          <w:sz w:val="66"/>
          <w:szCs w:val="66"/>
          <w:lang w:eastAsia="it-IT"/>
        </w:rPr>
      </w:pPr>
      <w:r w:rsidRPr="0087708B">
        <w:rPr>
          <w:rFonts w:ascii="pg-1ff9" w:eastAsia="Times New Roman" w:hAnsi="pg-1ff9" w:cs="Times New Roman"/>
          <w:color w:val="000000"/>
          <w:sz w:val="66"/>
          <w:szCs w:val="66"/>
          <w:lang w:eastAsia="it-IT"/>
        </w:rPr>
        <w:t>&amp;?##=10#&lt;)##? #&lt;1</w:t>
      </w:r>
    </w:p>
    <w:p w14:paraId="43DCB78D" w14:textId="77777777" w:rsidR="0087708B" w:rsidRPr="0087708B" w:rsidRDefault="0087708B" w:rsidP="0087708B">
      <w:pPr>
        <w:shd w:val="clear" w:color="auto" w:fill="FFFFFF"/>
        <w:spacing w:after="0" w:line="0" w:lineRule="auto"/>
        <w:rPr>
          <w:rFonts w:ascii="pg-1ff9" w:eastAsia="Times New Roman" w:hAnsi="pg-1ff9" w:cs="Times New Roman"/>
          <w:color w:val="000000"/>
          <w:sz w:val="66"/>
          <w:szCs w:val="66"/>
          <w:lang w:eastAsia="it-IT"/>
        </w:rPr>
      </w:pPr>
      <w:r w:rsidRPr="0087708B">
        <w:rPr>
          <w:rFonts w:ascii="pg-1ff9" w:eastAsia="Times New Roman" w:hAnsi="pg-1ff9" w:cs="Times New Roman"/>
          <w:color w:val="000000"/>
          <w:sz w:val="66"/>
          <w:szCs w:val="66"/>
          <w:lang w:eastAsia="it-IT"/>
        </w:rPr>
        <w:t>)&lt;--)# -*&amp;&lt;#%#&amp;##(</w:t>
      </w:r>
    </w:p>
    <w:p w14:paraId="057A7BAF" w14:textId="77777777" w:rsidR="0087708B" w:rsidRPr="0087708B" w:rsidRDefault="0087708B" w:rsidP="0087708B">
      <w:pPr>
        <w:shd w:val="clear" w:color="auto" w:fill="FFFFFF"/>
        <w:spacing w:after="0" w:line="0" w:lineRule="auto"/>
        <w:rPr>
          <w:rFonts w:ascii="pg-1ff9" w:eastAsia="Times New Roman" w:hAnsi="pg-1ff9" w:cs="Times New Roman"/>
          <w:color w:val="000000"/>
          <w:sz w:val="66"/>
          <w:szCs w:val="66"/>
          <w:lang w:eastAsia="it-IT"/>
        </w:rPr>
      </w:pPr>
      <w:r w:rsidRPr="0087708B">
        <w:rPr>
          <w:rFonts w:ascii="pg-1ff9" w:eastAsia="Times New Roman" w:hAnsi="pg-1ff9" w:cs="Times New Roman"/>
          <w:color w:val="000000"/>
          <w:sz w:val="66"/>
          <w:szCs w:val="66"/>
          <w:lang w:eastAsia="it-IT"/>
        </w:rPr>
        <w:t>#)##)$#--#</w:t>
      </w:r>
    </w:p>
    <w:p w14:paraId="46E7ABC9" w14:textId="77777777" w:rsidR="0087708B" w:rsidRPr="0087708B" w:rsidRDefault="0087708B" w:rsidP="0087708B">
      <w:pPr>
        <w:shd w:val="clear" w:color="auto" w:fill="FFFFFF"/>
        <w:spacing w:after="0" w:line="0" w:lineRule="auto"/>
        <w:rPr>
          <w:rFonts w:ascii="pg-1ff9" w:eastAsia="Times New Roman" w:hAnsi="pg-1ff9" w:cs="Times New Roman"/>
          <w:color w:val="000000"/>
          <w:sz w:val="66"/>
          <w:szCs w:val="66"/>
          <w:lang w:eastAsia="it-IT"/>
        </w:rPr>
      </w:pPr>
      <w:r w:rsidRPr="0087708B">
        <w:rPr>
          <w:rFonts w:ascii="pg-1ff9" w:eastAsia="Times New Roman" w:hAnsi="pg-1ff9" w:cs="Times New Roman"/>
          <w:color w:val="000000"/>
          <w:sz w:val="66"/>
          <w:szCs w:val="66"/>
          <w:lang w:eastAsia="it-IT"/>
        </w:rPr>
        <w:t>(#&lt;#)"&amp;*&amp;&gt;0</w:t>
      </w:r>
    </w:p>
    <w:p w14:paraId="40B6153D" w14:textId="77777777" w:rsidR="0087708B" w:rsidRPr="0087708B" w:rsidRDefault="0087708B" w:rsidP="0087708B">
      <w:pPr>
        <w:shd w:val="clear" w:color="auto" w:fill="FFFFFF"/>
        <w:spacing w:after="0" w:line="0" w:lineRule="auto"/>
        <w:rPr>
          <w:rFonts w:ascii="pg-1ff9" w:eastAsia="Times New Roman" w:hAnsi="pg-1ff9" w:cs="Times New Roman"/>
          <w:color w:val="000000"/>
          <w:sz w:val="66"/>
          <w:szCs w:val="66"/>
          <w:lang w:eastAsia="it-IT"/>
        </w:rPr>
      </w:pPr>
      <w:r w:rsidRPr="0087708B">
        <w:rPr>
          <w:rFonts w:ascii="pg-1ff9" w:eastAsia="Times New Roman" w:hAnsi="pg-1ff9" w:cs="Times New Roman"/>
          <w:color w:val="000000"/>
          <w:sz w:val="66"/>
          <w:szCs w:val="66"/>
          <w:lang w:eastAsia="it-IT"/>
        </w:rPr>
        <w:t>###</w:t>
      </w:r>
    </w:p>
    <w:p w14:paraId="10468B7D" w14:textId="77777777" w:rsidR="0087708B" w:rsidRDefault="0087708B" w:rsidP="0087708B">
      <w:pPr>
        <w:spacing w:after="0" w:line="240" w:lineRule="auto"/>
      </w:pPr>
    </w:p>
    <w:p w14:paraId="19845C20" w14:textId="77777777" w:rsidR="00A82C5F" w:rsidRDefault="00A82C5F" w:rsidP="00A82C5F">
      <w:r>
        <w:t xml:space="preserve">Negli anni settanta i quattro Stati che avevano istituito questo centro tornarono alla carica tentando di convincere i due “ribelli” per un impegno comune a ritornare allo scopo originario di EUROCONTROL. Con questo fine la Commissione </w:t>
      </w:r>
      <w:proofErr w:type="gramStart"/>
      <w:r>
        <w:t>permanente  tenne</w:t>
      </w:r>
      <w:proofErr w:type="gramEnd"/>
      <w:r>
        <w:t xml:space="preserve"> diverse riunioni nel corso del 1975 e 1976 per affrontare la questione in modo più articolato. Il risultato fu ancora una volta che l'impegno di tutti gli Stati alla visione originaria di fondazione non venne sostenuto, sebbene fosse evidente un forte sostegno per un differente ruolo di coordinamento per il futuro di EUROCONTROL.</w:t>
      </w:r>
    </w:p>
    <w:p w14:paraId="05CEF4D8" w14:textId="2C216286" w:rsidR="00A82C5F" w:rsidRDefault="00A82C5F" w:rsidP="00A82C5F">
      <w:r>
        <w:t xml:space="preserve">Le successive discussioni per sviluppare questo ruolo avrebbero portato </w:t>
      </w:r>
      <w:r w:rsidRPr="00AA587C">
        <w:rPr>
          <w:b/>
          <w:bCs/>
        </w:rPr>
        <w:t>alla ridefinizione</w:t>
      </w:r>
      <w:r>
        <w:t xml:space="preserve"> del mandato dell'Organizzazione e </w:t>
      </w:r>
      <w:r w:rsidR="00A1782D">
        <w:t>alla stesura del</w:t>
      </w:r>
      <w:r>
        <w:t xml:space="preserve">la Convenzione emendata </w:t>
      </w:r>
      <w:r w:rsidR="00A1782D">
        <w:t xml:space="preserve">per la quale </w:t>
      </w:r>
      <w:r>
        <w:t xml:space="preserve">sarebbero stati necessari altri dieci anni per la ratifica e l'entrata in vigore nel 1986. </w:t>
      </w:r>
    </w:p>
    <w:p w14:paraId="6EA616DF" w14:textId="77777777" w:rsidR="0087708B" w:rsidRDefault="0087708B" w:rsidP="00583587"/>
    <w:p w14:paraId="583237A1" w14:textId="77777777" w:rsidR="00583587" w:rsidRDefault="00583587" w:rsidP="00583587"/>
    <w:p w14:paraId="02A6DAAD" w14:textId="2BDA7444" w:rsidR="00BE4980" w:rsidRPr="00254CD0" w:rsidRDefault="00BE4980" w:rsidP="00D61108">
      <w:pPr>
        <w:pStyle w:val="NormaleWeb"/>
        <w:shd w:val="clear" w:color="auto" w:fill="FFFFFF"/>
        <w:spacing w:before="120" w:beforeAutospacing="0" w:after="0" w:afterAutospacing="0"/>
        <w:rPr>
          <w:rFonts w:asciiTheme="minorHAnsi" w:hAnsiTheme="minorHAnsi" w:cstheme="minorHAnsi"/>
          <w:sz w:val="22"/>
          <w:szCs w:val="22"/>
        </w:rPr>
      </w:pPr>
      <w:r w:rsidRPr="00BE4980">
        <w:rPr>
          <w:rFonts w:asciiTheme="minorHAnsi" w:hAnsiTheme="minorHAnsi" w:cstheme="minorHAnsi"/>
          <w:sz w:val="22"/>
          <w:szCs w:val="22"/>
        </w:rPr>
        <w:lastRenderedPageBreak/>
        <w:t xml:space="preserve">EUROCONTROL </w:t>
      </w:r>
      <w:proofErr w:type="gramStart"/>
      <w:r w:rsidRPr="00BE4980">
        <w:rPr>
          <w:rFonts w:asciiTheme="minorHAnsi" w:hAnsiTheme="minorHAnsi" w:cstheme="minorHAnsi"/>
          <w:sz w:val="22"/>
          <w:szCs w:val="22"/>
        </w:rPr>
        <w:t>oggi  produce</w:t>
      </w:r>
      <w:proofErr w:type="gramEnd"/>
      <w:r w:rsidRPr="00BE4980">
        <w:rPr>
          <w:rFonts w:asciiTheme="minorHAnsi" w:hAnsiTheme="minorHAnsi" w:cstheme="minorHAnsi"/>
          <w:sz w:val="22"/>
          <w:szCs w:val="22"/>
        </w:rPr>
        <w:t xml:space="preserve"> regolamentazione tecnica sulla sicurezza del traffico aereo. Una convenzione tra gli Stati membri ha creato una commissione indipendente, la </w:t>
      </w:r>
      <w:proofErr w:type="spellStart"/>
      <w:r w:rsidRPr="00BE4980">
        <w:rPr>
          <w:rFonts w:asciiTheme="minorHAnsi" w:hAnsiTheme="minorHAnsi" w:cstheme="minorHAnsi"/>
          <w:i/>
          <w:iCs/>
          <w:sz w:val="22"/>
          <w:szCs w:val="22"/>
        </w:rPr>
        <w:t>Safety</w:t>
      </w:r>
      <w:proofErr w:type="spellEnd"/>
      <w:r w:rsidRPr="00BE4980">
        <w:rPr>
          <w:rFonts w:asciiTheme="minorHAnsi" w:hAnsiTheme="minorHAnsi" w:cstheme="minorHAnsi"/>
          <w:i/>
          <w:iCs/>
          <w:sz w:val="22"/>
          <w:szCs w:val="22"/>
        </w:rPr>
        <w:t xml:space="preserve"> </w:t>
      </w:r>
      <w:proofErr w:type="spellStart"/>
      <w:r w:rsidRPr="00BE4980">
        <w:rPr>
          <w:rFonts w:asciiTheme="minorHAnsi" w:hAnsiTheme="minorHAnsi" w:cstheme="minorHAnsi"/>
          <w:i/>
          <w:iCs/>
          <w:sz w:val="22"/>
          <w:szCs w:val="22"/>
        </w:rPr>
        <w:t>Regulation</w:t>
      </w:r>
      <w:proofErr w:type="spellEnd"/>
      <w:r w:rsidRPr="00BE4980">
        <w:rPr>
          <w:rFonts w:asciiTheme="minorHAnsi" w:hAnsiTheme="minorHAnsi" w:cstheme="minorHAnsi"/>
          <w:i/>
          <w:iCs/>
          <w:sz w:val="22"/>
          <w:szCs w:val="22"/>
        </w:rPr>
        <w:t xml:space="preserve"> Commission</w:t>
      </w:r>
      <w:r w:rsidRPr="00BE4980">
        <w:rPr>
          <w:rFonts w:asciiTheme="minorHAnsi" w:hAnsiTheme="minorHAnsi" w:cstheme="minorHAnsi"/>
          <w:sz w:val="22"/>
          <w:szCs w:val="22"/>
        </w:rPr>
        <w:t> (SRC) per produrre rapporti e avvisi per migliorare la sicurezza del </w:t>
      </w:r>
      <w:hyperlink r:id="rId6" w:tooltip="Controllo del traffico aereo" w:history="1">
        <w:r w:rsidRPr="00BE4980">
          <w:rPr>
            <w:rStyle w:val="Collegamentoipertestuale"/>
            <w:rFonts w:asciiTheme="minorHAnsi" w:hAnsiTheme="minorHAnsi" w:cstheme="minorHAnsi"/>
            <w:color w:val="auto"/>
            <w:sz w:val="22"/>
            <w:szCs w:val="22"/>
          </w:rPr>
          <w:t>controllo del traffico aereo</w:t>
        </w:r>
      </w:hyperlink>
      <w:r w:rsidRPr="00BE4980">
        <w:rPr>
          <w:rFonts w:asciiTheme="minorHAnsi" w:hAnsiTheme="minorHAnsi" w:cstheme="minorHAnsi"/>
          <w:sz w:val="22"/>
          <w:szCs w:val="22"/>
        </w:rPr>
        <w:t> e per proporre l'adozione di regolamenti denominati </w:t>
      </w:r>
      <w:r w:rsidRPr="00BE4980">
        <w:rPr>
          <w:rFonts w:asciiTheme="minorHAnsi" w:hAnsiTheme="minorHAnsi" w:cstheme="minorHAnsi"/>
          <w:i/>
          <w:iCs/>
          <w:sz w:val="22"/>
          <w:szCs w:val="22"/>
        </w:rPr>
        <w:t xml:space="preserve">Eurocontrol </w:t>
      </w:r>
      <w:proofErr w:type="spellStart"/>
      <w:r w:rsidRPr="00BE4980">
        <w:rPr>
          <w:rFonts w:asciiTheme="minorHAnsi" w:hAnsiTheme="minorHAnsi" w:cstheme="minorHAnsi"/>
          <w:i/>
          <w:iCs/>
          <w:sz w:val="22"/>
          <w:szCs w:val="22"/>
        </w:rPr>
        <w:t>Safety</w:t>
      </w:r>
      <w:proofErr w:type="spellEnd"/>
      <w:r w:rsidRPr="00BE4980">
        <w:rPr>
          <w:rFonts w:asciiTheme="minorHAnsi" w:hAnsiTheme="minorHAnsi" w:cstheme="minorHAnsi"/>
          <w:i/>
          <w:iCs/>
          <w:sz w:val="22"/>
          <w:szCs w:val="22"/>
        </w:rPr>
        <w:t xml:space="preserve"> </w:t>
      </w:r>
      <w:proofErr w:type="spellStart"/>
      <w:r w:rsidRPr="00BE4980">
        <w:rPr>
          <w:rFonts w:asciiTheme="minorHAnsi" w:hAnsiTheme="minorHAnsi" w:cstheme="minorHAnsi"/>
          <w:i/>
          <w:iCs/>
          <w:sz w:val="22"/>
          <w:szCs w:val="22"/>
        </w:rPr>
        <w:t>Regulatory</w:t>
      </w:r>
      <w:proofErr w:type="spellEnd"/>
      <w:r w:rsidRPr="00BE4980">
        <w:rPr>
          <w:rFonts w:asciiTheme="minorHAnsi" w:hAnsiTheme="minorHAnsi" w:cstheme="minorHAnsi"/>
          <w:i/>
          <w:iCs/>
          <w:sz w:val="22"/>
          <w:szCs w:val="22"/>
        </w:rPr>
        <w:t xml:space="preserve"> </w:t>
      </w:r>
      <w:proofErr w:type="spellStart"/>
      <w:r w:rsidRPr="00BE4980">
        <w:rPr>
          <w:rFonts w:asciiTheme="minorHAnsi" w:hAnsiTheme="minorHAnsi" w:cstheme="minorHAnsi"/>
          <w:i/>
          <w:iCs/>
          <w:sz w:val="22"/>
          <w:szCs w:val="22"/>
        </w:rPr>
        <w:t>Requirements</w:t>
      </w:r>
      <w:proofErr w:type="spellEnd"/>
      <w:r w:rsidRPr="00BE4980">
        <w:rPr>
          <w:rFonts w:asciiTheme="minorHAnsi" w:hAnsiTheme="minorHAnsi" w:cstheme="minorHAnsi"/>
          <w:sz w:val="22"/>
          <w:szCs w:val="22"/>
        </w:rPr>
        <w:t> (ESARR).</w:t>
      </w:r>
      <w:r w:rsidR="00254CD0" w:rsidRPr="00BE4980">
        <w:rPr>
          <w:rFonts w:asciiTheme="minorHAnsi" w:hAnsiTheme="minorHAnsi" w:cstheme="minorHAnsi"/>
          <w:b/>
          <w:bCs/>
          <w:color w:val="000000"/>
          <w:sz w:val="22"/>
          <w:szCs w:val="22"/>
        </w:rPr>
        <w:t xml:space="preserve"> </w:t>
      </w:r>
    </w:p>
    <w:p w14:paraId="561FC3F0" w14:textId="118C7F4A" w:rsidR="00BE4980" w:rsidRPr="00BE4980" w:rsidRDefault="00254CD0" w:rsidP="00BE4980">
      <w:pPr>
        <w:pStyle w:val="NormaleWeb"/>
        <w:shd w:val="clear" w:color="auto" w:fill="FFFFFF"/>
        <w:spacing w:before="120" w:beforeAutospacing="0" w:after="120" w:afterAutospacing="0"/>
        <w:rPr>
          <w:rFonts w:asciiTheme="minorHAnsi" w:hAnsiTheme="minorHAnsi" w:cstheme="minorHAnsi"/>
          <w:color w:val="202122"/>
          <w:sz w:val="22"/>
          <w:szCs w:val="22"/>
        </w:rPr>
      </w:pPr>
      <w:r>
        <w:rPr>
          <w:rFonts w:asciiTheme="minorHAnsi" w:hAnsiTheme="minorHAnsi" w:cstheme="minorHAnsi"/>
          <w:color w:val="202122"/>
          <w:sz w:val="22"/>
          <w:szCs w:val="22"/>
        </w:rPr>
        <w:t>G</w:t>
      </w:r>
      <w:r w:rsidR="00BE4980" w:rsidRPr="00BE4980">
        <w:rPr>
          <w:rFonts w:asciiTheme="minorHAnsi" w:hAnsiTheme="minorHAnsi" w:cstheme="minorHAnsi"/>
          <w:color w:val="202122"/>
          <w:sz w:val="22"/>
          <w:szCs w:val="22"/>
        </w:rPr>
        <w:t>estisce il </w:t>
      </w:r>
      <w:r w:rsidR="00BE4980" w:rsidRPr="00BE4980">
        <w:rPr>
          <w:rFonts w:asciiTheme="minorHAnsi" w:hAnsiTheme="minorHAnsi" w:cstheme="minorHAnsi"/>
          <w:i/>
          <w:iCs/>
          <w:color w:val="202122"/>
          <w:sz w:val="22"/>
          <w:szCs w:val="22"/>
        </w:rPr>
        <w:t>Network Manager Operations Centre</w:t>
      </w:r>
      <w:r w:rsidR="00BE4980" w:rsidRPr="00BE4980">
        <w:rPr>
          <w:rFonts w:asciiTheme="minorHAnsi" w:hAnsiTheme="minorHAnsi" w:cstheme="minorHAnsi"/>
          <w:color w:val="202122"/>
          <w:sz w:val="22"/>
          <w:szCs w:val="22"/>
        </w:rPr>
        <w:t> (NMOC)</w:t>
      </w:r>
      <w:r w:rsidRPr="00BE4980">
        <w:rPr>
          <w:rFonts w:asciiTheme="minorHAnsi" w:hAnsiTheme="minorHAnsi" w:cstheme="minorHAnsi"/>
          <w:color w:val="202122"/>
          <w:sz w:val="22"/>
          <w:szCs w:val="22"/>
        </w:rPr>
        <w:t xml:space="preserve"> </w:t>
      </w:r>
      <w:r w:rsidR="00BE4980" w:rsidRPr="00BE4980">
        <w:rPr>
          <w:rFonts w:asciiTheme="minorHAnsi" w:hAnsiTheme="minorHAnsi" w:cstheme="minorHAnsi"/>
          <w:color w:val="202122"/>
          <w:sz w:val="22"/>
          <w:szCs w:val="22"/>
        </w:rPr>
        <w:t>una unità finalizzata ad armonizzare i piani di volo che riguardano l'Europa, con lo scopo di minimizzare i ritardi e garantire la sicurezza del traffico aereo.</w:t>
      </w:r>
    </w:p>
    <w:p w14:paraId="4935A30A" w14:textId="6355FDE1" w:rsidR="00BE4980" w:rsidRPr="00254CD0" w:rsidRDefault="00254CD0" w:rsidP="00254CD0">
      <w:pPr>
        <w:pStyle w:val="NormaleWeb"/>
        <w:shd w:val="clear" w:color="auto" w:fill="FFFFFF"/>
        <w:spacing w:before="120" w:beforeAutospacing="0" w:after="120" w:afterAutospacing="0"/>
        <w:rPr>
          <w:rFonts w:asciiTheme="minorHAnsi" w:hAnsiTheme="minorHAnsi" w:cstheme="minorHAnsi"/>
          <w:color w:val="202122"/>
          <w:sz w:val="22"/>
          <w:szCs w:val="22"/>
        </w:rPr>
      </w:pPr>
      <w:proofErr w:type="gramStart"/>
      <w:r>
        <w:rPr>
          <w:rFonts w:asciiTheme="minorHAnsi" w:hAnsiTheme="minorHAnsi" w:cstheme="minorHAnsi"/>
          <w:color w:val="202122"/>
          <w:sz w:val="22"/>
          <w:szCs w:val="22"/>
        </w:rPr>
        <w:t>E’</w:t>
      </w:r>
      <w:proofErr w:type="gramEnd"/>
      <w:r>
        <w:rPr>
          <w:rFonts w:asciiTheme="minorHAnsi" w:hAnsiTheme="minorHAnsi" w:cstheme="minorHAnsi"/>
          <w:color w:val="202122"/>
          <w:sz w:val="22"/>
          <w:szCs w:val="22"/>
        </w:rPr>
        <w:t xml:space="preserve"> inoltre di sua pertinenza</w:t>
      </w:r>
      <w:r w:rsidR="00BE4980" w:rsidRPr="00BE4980">
        <w:rPr>
          <w:rFonts w:asciiTheme="minorHAnsi" w:hAnsiTheme="minorHAnsi" w:cstheme="minorHAnsi"/>
          <w:color w:val="202122"/>
          <w:sz w:val="22"/>
          <w:szCs w:val="22"/>
        </w:rPr>
        <w:t xml:space="preserve"> il </w:t>
      </w:r>
      <w:r w:rsidR="00BE4980" w:rsidRPr="00BE4980">
        <w:rPr>
          <w:rFonts w:asciiTheme="minorHAnsi" w:hAnsiTheme="minorHAnsi" w:cstheme="minorHAnsi"/>
          <w:i/>
          <w:iCs/>
          <w:color w:val="202122"/>
          <w:sz w:val="22"/>
          <w:szCs w:val="22"/>
        </w:rPr>
        <w:t xml:space="preserve">Central </w:t>
      </w:r>
      <w:proofErr w:type="spellStart"/>
      <w:r w:rsidR="00BE4980" w:rsidRPr="00BE4980">
        <w:rPr>
          <w:rFonts w:asciiTheme="minorHAnsi" w:hAnsiTheme="minorHAnsi" w:cstheme="minorHAnsi"/>
          <w:i/>
          <w:iCs/>
          <w:color w:val="202122"/>
          <w:sz w:val="22"/>
          <w:szCs w:val="22"/>
        </w:rPr>
        <w:t>Route</w:t>
      </w:r>
      <w:proofErr w:type="spellEnd"/>
      <w:r w:rsidR="00BE4980" w:rsidRPr="00BE4980">
        <w:rPr>
          <w:rFonts w:asciiTheme="minorHAnsi" w:hAnsiTheme="minorHAnsi" w:cstheme="minorHAnsi"/>
          <w:i/>
          <w:iCs/>
          <w:color w:val="202122"/>
          <w:sz w:val="22"/>
          <w:szCs w:val="22"/>
        </w:rPr>
        <w:t xml:space="preserve"> </w:t>
      </w:r>
      <w:proofErr w:type="spellStart"/>
      <w:r w:rsidR="00BE4980" w:rsidRPr="00BE4980">
        <w:rPr>
          <w:rFonts w:asciiTheme="minorHAnsi" w:hAnsiTheme="minorHAnsi" w:cstheme="minorHAnsi"/>
          <w:i/>
          <w:iCs/>
          <w:color w:val="202122"/>
          <w:sz w:val="22"/>
          <w:szCs w:val="22"/>
        </w:rPr>
        <w:t>Charges</w:t>
      </w:r>
      <w:proofErr w:type="spellEnd"/>
      <w:r w:rsidR="00BE4980" w:rsidRPr="00BE4980">
        <w:rPr>
          <w:rFonts w:asciiTheme="minorHAnsi" w:hAnsiTheme="minorHAnsi" w:cstheme="minorHAnsi"/>
          <w:i/>
          <w:iCs/>
          <w:color w:val="202122"/>
          <w:sz w:val="22"/>
          <w:szCs w:val="22"/>
        </w:rPr>
        <w:t xml:space="preserve"> Office</w:t>
      </w:r>
      <w:r w:rsidR="00BE4980" w:rsidRPr="00BE4980">
        <w:rPr>
          <w:rFonts w:asciiTheme="minorHAnsi" w:hAnsiTheme="minorHAnsi" w:cstheme="minorHAnsi"/>
          <w:color w:val="202122"/>
          <w:sz w:val="22"/>
          <w:szCs w:val="22"/>
        </w:rPr>
        <w:t> (CRCO), ovvero</w:t>
      </w:r>
      <w:r w:rsidR="00D61108">
        <w:rPr>
          <w:rFonts w:asciiTheme="minorHAnsi" w:hAnsiTheme="minorHAnsi" w:cstheme="minorHAnsi"/>
          <w:color w:val="202122"/>
          <w:sz w:val="22"/>
          <w:szCs w:val="22"/>
        </w:rPr>
        <w:t xml:space="preserve"> una Clearing House</w:t>
      </w:r>
      <w:r w:rsidR="00BE4980" w:rsidRPr="00BE4980">
        <w:rPr>
          <w:rFonts w:asciiTheme="minorHAnsi" w:hAnsiTheme="minorHAnsi" w:cstheme="minorHAnsi"/>
          <w:color w:val="202122"/>
          <w:sz w:val="22"/>
          <w:szCs w:val="22"/>
        </w:rPr>
        <w:t xml:space="preserve"> che armonizza e riconcilia la fatturazione dei servizi, tra </w:t>
      </w:r>
      <w:r w:rsidR="00D61108">
        <w:rPr>
          <w:rFonts w:asciiTheme="minorHAnsi" w:hAnsiTheme="minorHAnsi" w:cstheme="minorHAnsi"/>
          <w:color w:val="202122"/>
          <w:sz w:val="22"/>
          <w:szCs w:val="22"/>
        </w:rPr>
        <w:t>gli enti</w:t>
      </w:r>
      <w:r w:rsidR="00BE4980" w:rsidRPr="00BE4980">
        <w:rPr>
          <w:rFonts w:asciiTheme="minorHAnsi" w:hAnsiTheme="minorHAnsi" w:cstheme="minorHAnsi"/>
          <w:color w:val="202122"/>
          <w:sz w:val="22"/>
          <w:szCs w:val="22"/>
        </w:rPr>
        <w:t xml:space="preserve"> deputati al controllo del traffico aereo, che comunque vengono fatturati dai singoli operatori nazionali alle compagnie aeree</w:t>
      </w:r>
      <w:r w:rsidR="00D61108">
        <w:rPr>
          <w:rFonts w:asciiTheme="minorHAnsi" w:hAnsiTheme="minorHAnsi" w:cstheme="minorHAnsi"/>
          <w:color w:val="202122"/>
          <w:sz w:val="22"/>
          <w:szCs w:val="22"/>
        </w:rPr>
        <w:t xml:space="preserve">, </w:t>
      </w:r>
      <w:r w:rsidR="00332AE7">
        <w:rPr>
          <w:rFonts w:asciiTheme="minorHAnsi" w:hAnsiTheme="minorHAnsi" w:cstheme="minorHAnsi"/>
          <w:color w:val="202122"/>
          <w:sz w:val="22"/>
          <w:szCs w:val="22"/>
        </w:rPr>
        <w:t xml:space="preserve">compito </w:t>
      </w:r>
      <w:r w:rsidR="00D61108">
        <w:rPr>
          <w:rFonts w:asciiTheme="minorHAnsi" w:hAnsiTheme="minorHAnsi" w:cstheme="minorHAnsi"/>
          <w:color w:val="202122"/>
          <w:sz w:val="22"/>
          <w:szCs w:val="22"/>
        </w:rPr>
        <w:t>in Italia</w:t>
      </w:r>
      <w:r w:rsidR="00332AE7">
        <w:rPr>
          <w:rFonts w:asciiTheme="minorHAnsi" w:hAnsiTheme="minorHAnsi" w:cstheme="minorHAnsi"/>
          <w:color w:val="202122"/>
          <w:sz w:val="22"/>
          <w:szCs w:val="22"/>
        </w:rPr>
        <w:t xml:space="preserve"> assolto</w:t>
      </w:r>
      <w:r w:rsidR="00D61108">
        <w:rPr>
          <w:rFonts w:asciiTheme="minorHAnsi" w:hAnsiTheme="minorHAnsi" w:cstheme="minorHAnsi"/>
          <w:color w:val="202122"/>
          <w:sz w:val="22"/>
          <w:szCs w:val="22"/>
        </w:rPr>
        <w:t xml:space="preserve"> da ENAV.</w:t>
      </w:r>
    </w:p>
    <w:p w14:paraId="30592E5D" w14:textId="3E43DE4E" w:rsidR="00BE4980" w:rsidRDefault="00D61108" w:rsidP="00583587">
      <w:pPr>
        <w:rPr>
          <w:rFonts w:cstheme="minorHAnsi"/>
        </w:rPr>
      </w:pPr>
      <w:r>
        <w:rPr>
          <w:rFonts w:cstheme="minorHAnsi"/>
        </w:rPr>
        <w:t xml:space="preserve">Ma il progetto originale ogni tanto </w:t>
      </w:r>
      <w:r w:rsidR="00332AE7">
        <w:rPr>
          <w:rFonts w:cstheme="minorHAnsi"/>
        </w:rPr>
        <w:t xml:space="preserve">torna a </w:t>
      </w:r>
      <w:r>
        <w:rPr>
          <w:rFonts w:cstheme="minorHAnsi"/>
        </w:rPr>
        <w:t>fa</w:t>
      </w:r>
      <w:r w:rsidR="00332AE7">
        <w:rPr>
          <w:rFonts w:cstheme="minorHAnsi"/>
        </w:rPr>
        <w:t>r</w:t>
      </w:r>
      <w:r>
        <w:rPr>
          <w:rFonts w:cstheme="minorHAnsi"/>
        </w:rPr>
        <w:t xml:space="preserve"> capolino e negli ultimi tempi ha preso</w:t>
      </w:r>
      <w:r w:rsidR="00332AE7">
        <w:rPr>
          <w:rFonts w:cstheme="minorHAnsi"/>
        </w:rPr>
        <w:t xml:space="preserve"> la nuova denominazione</w:t>
      </w:r>
      <w:r>
        <w:rPr>
          <w:rFonts w:cstheme="minorHAnsi"/>
        </w:rPr>
        <w:t xml:space="preserve"> di</w:t>
      </w:r>
      <w:r w:rsidR="00254CD0" w:rsidRPr="00D61108">
        <w:rPr>
          <w:rFonts w:cstheme="minorHAnsi"/>
        </w:rPr>
        <w:t xml:space="preserve"> </w:t>
      </w:r>
      <w:r w:rsidR="00254CD0" w:rsidRPr="00332AE7">
        <w:rPr>
          <w:rFonts w:cstheme="minorHAnsi"/>
          <w:i/>
          <w:iCs/>
        </w:rPr>
        <w:t xml:space="preserve">Single </w:t>
      </w:r>
      <w:proofErr w:type="spellStart"/>
      <w:r w:rsidR="00254CD0" w:rsidRPr="00332AE7">
        <w:rPr>
          <w:rFonts w:cstheme="minorHAnsi"/>
          <w:i/>
          <w:iCs/>
        </w:rPr>
        <w:t>European</w:t>
      </w:r>
      <w:proofErr w:type="spellEnd"/>
      <w:r w:rsidR="00254CD0" w:rsidRPr="00332AE7">
        <w:rPr>
          <w:rFonts w:cstheme="minorHAnsi"/>
          <w:i/>
          <w:iCs/>
        </w:rPr>
        <w:t xml:space="preserve"> </w:t>
      </w:r>
      <w:proofErr w:type="spellStart"/>
      <w:r w:rsidR="00254CD0" w:rsidRPr="00332AE7">
        <w:rPr>
          <w:rFonts w:cstheme="minorHAnsi"/>
          <w:i/>
          <w:iCs/>
        </w:rPr>
        <w:t>Sky</w:t>
      </w:r>
      <w:proofErr w:type="spellEnd"/>
      <w:r w:rsidR="00254CD0" w:rsidRPr="00D61108">
        <w:rPr>
          <w:rFonts w:cstheme="minorHAnsi"/>
        </w:rPr>
        <w:t xml:space="preserve"> ovvero Cielo Unico Europeo</w:t>
      </w:r>
      <w:r w:rsidR="00332AE7">
        <w:rPr>
          <w:rFonts w:cstheme="minorHAnsi"/>
        </w:rPr>
        <w:t>.</w:t>
      </w:r>
      <w:r w:rsidRPr="00D61108">
        <w:rPr>
          <w:rFonts w:cstheme="minorHAnsi"/>
        </w:rPr>
        <w:t xml:space="preserve"> </w:t>
      </w:r>
      <w:r w:rsidRPr="00D61108">
        <w:rPr>
          <w:rFonts w:cstheme="minorHAnsi"/>
          <w:shd w:val="clear" w:color="auto" w:fill="FFFFFF"/>
        </w:rPr>
        <w:t>Il progetto è quello di suddividere la gestione dello spazio aereo, anziché sulla base dei territori degli stati, su "</w:t>
      </w:r>
      <w:r w:rsidRPr="00D61108">
        <w:rPr>
          <w:rFonts w:cstheme="minorHAnsi"/>
          <w:i/>
          <w:iCs/>
          <w:shd w:val="clear" w:color="auto" w:fill="FFFFFF"/>
        </w:rPr>
        <w:t>blocchi funzionali di spazio aereo</w:t>
      </w:r>
      <w:r w:rsidRPr="00D61108">
        <w:rPr>
          <w:rFonts w:cstheme="minorHAnsi"/>
          <w:shd w:val="clear" w:color="auto" w:fill="FFFFFF"/>
        </w:rPr>
        <w:t>" per massimizzare l'efficienza d'uso di quest'ultimo. All'interno di esso, il traffico, pur mantenendo la sicurezza come obiettivo primario, sarà anche gestito secondo le esigenze degli utenti e il bisogno di incrementare il traffico aereo. L'obiettivo finale è quello di operare un </w:t>
      </w:r>
      <w:hyperlink r:id="rId7" w:tooltip="Controllo del traffico aereo" w:history="1">
        <w:r w:rsidRPr="00D61108">
          <w:rPr>
            <w:rStyle w:val="Collegamentoipertestuale"/>
            <w:rFonts w:cstheme="minorHAnsi"/>
            <w:color w:val="auto"/>
            <w:u w:val="none"/>
            <w:shd w:val="clear" w:color="auto" w:fill="FFFFFF"/>
          </w:rPr>
          <w:t>controllo del traffico aereo</w:t>
        </w:r>
      </w:hyperlink>
      <w:r w:rsidRPr="00D61108">
        <w:rPr>
          <w:rFonts w:cstheme="minorHAnsi"/>
          <w:shd w:val="clear" w:color="auto" w:fill="FFFFFF"/>
        </w:rPr>
        <w:t> basato su modelli di volo che portino a maggiore sicurezza, efficienza e capacità.</w:t>
      </w:r>
      <w:r w:rsidRPr="00D61108">
        <w:rPr>
          <w:rFonts w:cstheme="minorHAnsi"/>
        </w:rPr>
        <w:t xml:space="preserve"> </w:t>
      </w:r>
    </w:p>
    <w:p w14:paraId="75902426" w14:textId="35C7BC91" w:rsidR="000D6925" w:rsidRDefault="000D6925" w:rsidP="00583587">
      <w:pPr>
        <w:rPr>
          <w:rFonts w:cstheme="minorHAnsi"/>
        </w:rPr>
      </w:pPr>
    </w:p>
    <w:p w14:paraId="4A99DCC5" w14:textId="3F56BBBC" w:rsidR="000D6925" w:rsidRPr="000D6925" w:rsidRDefault="000D6925" w:rsidP="00583587">
      <w:pPr>
        <w:rPr>
          <w:rFonts w:cstheme="minorHAnsi"/>
          <w:u w:val="single"/>
          <w:lang w:val="en-GB"/>
        </w:rPr>
      </w:pPr>
      <w:r w:rsidRPr="000D6925">
        <w:rPr>
          <w:rFonts w:cstheme="minorHAnsi"/>
          <w:u w:val="single"/>
          <w:lang w:val="en-GB"/>
        </w:rPr>
        <w:t>Il SES Single European Sky</w:t>
      </w:r>
    </w:p>
    <w:p w14:paraId="75FF758C" w14:textId="44043A3E" w:rsidR="000D6925" w:rsidRDefault="000D6925" w:rsidP="00583587">
      <w:pPr>
        <w:rPr>
          <w:rFonts w:cstheme="minorHAnsi"/>
        </w:rPr>
      </w:pPr>
      <w:r>
        <w:rPr>
          <w:rFonts w:cstheme="minorHAnsi"/>
        </w:rPr>
        <w:t xml:space="preserve">Quanto è fattibile questo nuovo progetto? E’ realmente attuabile o ci troviamo di fronte all’ennesimo tentativo di annullare le frontiere </w:t>
      </w:r>
      <w:proofErr w:type="gramStart"/>
      <w:r>
        <w:rPr>
          <w:rFonts w:cstheme="minorHAnsi"/>
        </w:rPr>
        <w:t>nazionali</w:t>
      </w:r>
      <w:r w:rsidR="00AA0E7B">
        <w:rPr>
          <w:rFonts w:cstheme="minorHAnsi"/>
        </w:rPr>
        <w:t>,</w:t>
      </w:r>
      <w:r>
        <w:rPr>
          <w:rFonts w:cstheme="minorHAnsi"/>
        </w:rPr>
        <w:t xml:space="preserve">  fatto</w:t>
      </w:r>
      <w:proofErr w:type="gramEnd"/>
      <w:r>
        <w:rPr>
          <w:rFonts w:cstheme="minorHAnsi"/>
        </w:rPr>
        <w:t xml:space="preserve"> questo che ben pochi Stati </w:t>
      </w:r>
      <w:r w:rsidR="00AA0E7B">
        <w:rPr>
          <w:rFonts w:cstheme="minorHAnsi"/>
        </w:rPr>
        <w:t>saranno disposti ad</w:t>
      </w:r>
      <w:r>
        <w:rPr>
          <w:rFonts w:cstheme="minorHAnsi"/>
        </w:rPr>
        <w:t xml:space="preserve"> accettare sia pure se portato avanti ricorrendo a seducenti inviti quali: </w:t>
      </w:r>
    </w:p>
    <w:p w14:paraId="74378202" w14:textId="2BA799FC" w:rsidR="000D6925" w:rsidRPr="000D6925" w:rsidRDefault="000D6925" w:rsidP="000D6925">
      <w:pPr>
        <w:shd w:val="clear" w:color="auto" w:fill="FFFFFF"/>
        <w:spacing w:after="0" w:line="240" w:lineRule="auto"/>
        <w:jc w:val="both"/>
        <w:rPr>
          <w:rFonts w:eastAsia="Times New Roman" w:cstheme="minorHAnsi"/>
          <w:color w:val="000000"/>
          <w:lang w:eastAsia="it-IT"/>
        </w:rPr>
      </w:pPr>
      <w:r w:rsidRPr="000D6925">
        <w:rPr>
          <w:rFonts w:eastAsia="Times New Roman" w:cstheme="minorHAnsi"/>
          <w:i/>
          <w:iCs/>
          <w:color w:val="000000"/>
          <w:lang w:eastAsia="it-IT"/>
        </w:rPr>
        <w:t xml:space="preserve">“Concretamente, si tratta di aumentare le rotte dirette, consumare meno energia, riducendo le emissioni e i costi per le compagnie aeree. Il Single </w:t>
      </w:r>
      <w:proofErr w:type="spellStart"/>
      <w:r w:rsidRPr="000D6925">
        <w:rPr>
          <w:rFonts w:eastAsia="Times New Roman" w:cstheme="minorHAnsi"/>
          <w:i/>
          <w:iCs/>
          <w:color w:val="000000"/>
          <w:lang w:eastAsia="it-IT"/>
        </w:rPr>
        <w:t>European</w:t>
      </w:r>
      <w:proofErr w:type="spellEnd"/>
      <w:r w:rsidRPr="000D6925">
        <w:rPr>
          <w:rFonts w:eastAsia="Times New Roman" w:cstheme="minorHAnsi"/>
          <w:i/>
          <w:iCs/>
          <w:color w:val="000000"/>
          <w:lang w:eastAsia="it-IT"/>
        </w:rPr>
        <w:t xml:space="preserve"> </w:t>
      </w:r>
      <w:proofErr w:type="spellStart"/>
      <w:r w:rsidRPr="000D6925">
        <w:rPr>
          <w:rFonts w:eastAsia="Times New Roman" w:cstheme="minorHAnsi"/>
          <w:i/>
          <w:iCs/>
          <w:color w:val="000000"/>
          <w:lang w:eastAsia="it-IT"/>
        </w:rPr>
        <w:t>Sky</w:t>
      </w:r>
      <w:proofErr w:type="spellEnd"/>
      <w:r w:rsidRPr="000D6925">
        <w:rPr>
          <w:rFonts w:eastAsia="Times New Roman" w:cstheme="minorHAnsi"/>
          <w:i/>
          <w:iCs/>
          <w:color w:val="000000"/>
          <w:lang w:eastAsia="it-IT"/>
        </w:rPr>
        <w:t xml:space="preserve"> si pone appunto questi obiettivi. </w:t>
      </w:r>
    </w:p>
    <w:p w14:paraId="1083722D" w14:textId="6F2BA791" w:rsidR="000D6925" w:rsidRPr="00AA0E7B" w:rsidRDefault="000D6925" w:rsidP="000D6925">
      <w:pPr>
        <w:shd w:val="clear" w:color="auto" w:fill="FFFFFF"/>
        <w:spacing w:after="150" w:line="240" w:lineRule="auto"/>
        <w:jc w:val="both"/>
        <w:rPr>
          <w:rFonts w:eastAsia="Times New Roman" w:cstheme="minorHAnsi"/>
          <w:color w:val="FF0000"/>
          <w:sz w:val="18"/>
          <w:szCs w:val="18"/>
          <w:lang w:eastAsia="it-IT"/>
        </w:rPr>
      </w:pPr>
      <w:r w:rsidRPr="000D6925">
        <w:rPr>
          <w:rFonts w:eastAsia="Times New Roman" w:cstheme="minorHAnsi"/>
          <w:i/>
          <w:iCs/>
          <w:color w:val="000000"/>
          <w:lang w:eastAsia="it-IT"/>
        </w:rPr>
        <w:t>Nel 2019 i ritardi, da soli, hanno determinato 6 miliardi di euro di costi per l'UE e 11,6 milioni di tonnellate di CO2 in eccesso. Inoltre l'obbligo per i piloti di volare in spazi aerei congestionati anziché seguire una traiettoria diretta comporta emissioni inutili; lo stesso accade quando le compagnie aeree seguono rotte più lunghe per evitare le zone tariffarie più costose.”</w:t>
      </w:r>
      <w:r>
        <w:rPr>
          <w:rFonts w:eastAsia="Times New Roman" w:cstheme="minorHAnsi"/>
          <w:i/>
          <w:iCs/>
          <w:color w:val="000000"/>
          <w:lang w:eastAsia="it-IT"/>
        </w:rPr>
        <w:t xml:space="preserve"> </w:t>
      </w:r>
      <w:r>
        <w:rPr>
          <w:rFonts w:eastAsia="Times New Roman" w:cstheme="minorHAnsi"/>
          <w:color w:val="000000"/>
          <w:lang w:eastAsia="it-IT"/>
        </w:rPr>
        <w:t xml:space="preserve"> </w:t>
      </w:r>
      <w:r w:rsidRPr="00AA0E7B">
        <w:rPr>
          <w:rFonts w:eastAsia="Times New Roman" w:cstheme="minorHAnsi"/>
          <w:color w:val="FF0000"/>
          <w:sz w:val="18"/>
          <w:szCs w:val="18"/>
          <w:lang w:eastAsia="it-IT"/>
        </w:rPr>
        <w:t>(3)</w:t>
      </w:r>
    </w:p>
    <w:p w14:paraId="23BF4496" w14:textId="0A463551" w:rsidR="00AD517C" w:rsidRPr="00AD517C" w:rsidRDefault="00AA0E7B" w:rsidP="00AD517C">
      <w:pPr>
        <w:shd w:val="clear" w:color="auto" w:fill="FFFFFF"/>
        <w:spacing w:after="150" w:line="240" w:lineRule="auto"/>
        <w:jc w:val="both"/>
        <w:rPr>
          <w:rFonts w:eastAsia="Times New Roman" w:cstheme="minorHAnsi"/>
          <w:color w:val="000000"/>
          <w:lang w:eastAsia="it-IT"/>
        </w:rPr>
      </w:pPr>
      <w:r>
        <w:rPr>
          <w:rFonts w:eastAsia="Times New Roman" w:cstheme="minorHAnsi"/>
          <w:color w:val="000000"/>
          <w:lang w:eastAsia="it-IT"/>
        </w:rPr>
        <w:t xml:space="preserve">Navigando sul sito della Commissione Europea settore “mobilità e trasporto” </w:t>
      </w:r>
      <w:r w:rsidRPr="00AA0E7B">
        <w:rPr>
          <w:rFonts w:eastAsia="Times New Roman" w:cstheme="minorHAnsi"/>
          <w:color w:val="FF0000"/>
          <w:sz w:val="18"/>
          <w:szCs w:val="18"/>
          <w:lang w:eastAsia="it-IT"/>
        </w:rPr>
        <w:t>(4)</w:t>
      </w:r>
      <w:r>
        <w:rPr>
          <w:rFonts w:eastAsia="Times New Roman" w:cstheme="minorHAnsi"/>
          <w:color w:val="000000"/>
          <w:lang w:eastAsia="it-IT"/>
        </w:rPr>
        <w:t xml:space="preserve"> si possono trovare interessanti informazioni sul background di questo progetto. Così si può apprendere che </w:t>
      </w:r>
      <w:r w:rsidR="00AD517C" w:rsidRPr="00AD517C">
        <w:rPr>
          <w:rFonts w:eastAsia="Times New Roman" w:cstheme="minorHAnsi"/>
          <w:color w:val="000000"/>
          <w:lang w:eastAsia="it-IT"/>
        </w:rPr>
        <w:t>Il sistema europeo</w:t>
      </w:r>
      <w:r>
        <w:rPr>
          <w:rFonts w:eastAsia="Times New Roman" w:cstheme="minorHAnsi"/>
          <w:color w:val="000000"/>
          <w:lang w:eastAsia="it-IT"/>
        </w:rPr>
        <w:t xml:space="preserve"> di assistenza alla navigazione aerea</w:t>
      </w:r>
      <w:r w:rsidR="00AD517C" w:rsidRPr="00AD517C">
        <w:rPr>
          <w:rFonts w:eastAsia="Times New Roman" w:cstheme="minorHAnsi"/>
          <w:color w:val="000000"/>
          <w:lang w:eastAsia="it-IT"/>
        </w:rPr>
        <w:t xml:space="preserve"> comprende 37 fornitori di servizi, </w:t>
      </w:r>
      <w:r>
        <w:rPr>
          <w:rFonts w:eastAsia="Times New Roman" w:cstheme="minorHAnsi"/>
          <w:color w:val="000000"/>
          <w:lang w:eastAsia="it-IT"/>
        </w:rPr>
        <w:t xml:space="preserve">servizi che </w:t>
      </w:r>
      <w:proofErr w:type="gramStart"/>
      <w:r>
        <w:rPr>
          <w:rFonts w:eastAsia="Times New Roman" w:cstheme="minorHAnsi"/>
          <w:color w:val="000000"/>
          <w:lang w:eastAsia="it-IT"/>
        </w:rPr>
        <w:t xml:space="preserve">costituiscono  </w:t>
      </w:r>
      <w:r w:rsidR="00AD517C" w:rsidRPr="00AD517C">
        <w:rPr>
          <w:rFonts w:eastAsia="Times New Roman" w:cstheme="minorHAnsi"/>
          <w:color w:val="000000"/>
          <w:lang w:eastAsia="it-IT"/>
        </w:rPr>
        <w:t>un</w:t>
      </w:r>
      <w:proofErr w:type="gramEnd"/>
      <w:r w:rsidR="00AD517C" w:rsidRPr="00AD517C">
        <w:rPr>
          <w:rFonts w:eastAsia="Times New Roman" w:cstheme="minorHAnsi"/>
          <w:color w:val="000000"/>
          <w:lang w:eastAsia="it-IT"/>
        </w:rPr>
        <w:t xml:space="preserve"> business di 8,6 miliardi di euro con circa 57 000 dipendenti </w:t>
      </w:r>
      <w:r>
        <w:rPr>
          <w:rFonts w:eastAsia="Times New Roman" w:cstheme="minorHAnsi"/>
          <w:color w:val="000000"/>
          <w:lang w:eastAsia="it-IT"/>
        </w:rPr>
        <w:t>dei quali</w:t>
      </w:r>
      <w:r w:rsidR="00AD517C" w:rsidRPr="00AD517C">
        <w:rPr>
          <w:rFonts w:eastAsia="Times New Roman" w:cstheme="minorHAnsi"/>
          <w:color w:val="000000"/>
          <w:lang w:eastAsia="it-IT"/>
        </w:rPr>
        <w:t xml:space="preserve"> 16 900 sono controllori del traffico aereo (ATC) rispetto ai 13 000 ATC negli USA.</w:t>
      </w:r>
      <w:r>
        <w:rPr>
          <w:rFonts w:eastAsia="Times New Roman" w:cstheme="minorHAnsi"/>
          <w:color w:val="000000"/>
          <w:lang w:eastAsia="it-IT"/>
        </w:rPr>
        <w:t xml:space="preserve"> </w:t>
      </w:r>
      <w:r w:rsidR="00EE20B6">
        <w:rPr>
          <w:rFonts w:eastAsia="Times New Roman" w:cstheme="minorHAnsi"/>
          <w:color w:val="000000"/>
          <w:lang w:eastAsia="it-IT"/>
        </w:rPr>
        <w:t xml:space="preserve"> </w:t>
      </w:r>
      <w:r>
        <w:rPr>
          <w:rFonts w:eastAsia="Times New Roman" w:cstheme="minorHAnsi"/>
          <w:color w:val="000000"/>
          <w:lang w:eastAsia="it-IT"/>
        </w:rPr>
        <w:t>Ancora, i</w:t>
      </w:r>
      <w:r w:rsidR="00AD517C" w:rsidRPr="00AD517C">
        <w:rPr>
          <w:rFonts w:eastAsia="Times New Roman" w:cstheme="minorHAnsi"/>
          <w:color w:val="000000"/>
          <w:lang w:eastAsia="it-IT"/>
        </w:rPr>
        <w:t xml:space="preserve">n media ogni volo </w:t>
      </w:r>
      <w:r w:rsidR="00A1782D">
        <w:rPr>
          <w:rFonts w:eastAsia="Times New Roman" w:cstheme="minorHAnsi"/>
          <w:color w:val="000000"/>
          <w:lang w:eastAsia="it-IT"/>
        </w:rPr>
        <w:t>risulterebbe di</w:t>
      </w:r>
      <w:r w:rsidR="00AD517C" w:rsidRPr="00AD517C">
        <w:rPr>
          <w:rFonts w:eastAsia="Times New Roman" w:cstheme="minorHAnsi"/>
          <w:color w:val="000000"/>
          <w:lang w:eastAsia="it-IT"/>
        </w:rPr>
        <w:t xml:space="preserve"> 49 km più lungo del volo diretto.</w:t>
      </w:r>
    </w:p>
    <w:p w14:paraId="37461C5F" w14:textId="71E22277" w:rsidR="00AD517C" w:rsidRPr="00AD517C" w:rsidRDefault="00EE20B6" w:rsidP="00AD517C">
      <w:pPr>
        <w:shd w:val="clear" w:color="auto" w:fill="FFFFFF"/>
        <w:spacing w:after="150" w:line="240" w:lineRule="auto"/>
        <w:jc w:val="both"/>
        <w:rPr>
          <w:rFonts w:eastAsia="Times New Roman" w:cstheme="minorHAnsi"/>
          <w:color w:val="000000"/>
          <w:lang w:eastAsia="it-IT"/>
        </w:rPr>
      </w:pPr>
      <w:r>
        <w:rPr>
          <w:rFonts w:eastAsia="Times New Roman" w:cstheme="minorHAnsi"/>
          <w:color w:val="000000"/>
          <w:lang w:eastAsia="it-IT"/>
        </w:rPr>
        <w:t>Lo s</w:t>
      </w:r>
      <w:r w:rsidR="00AD517C" w:rsidRPr="00AD517C">
        <w:rPr>
          <w:rFonts w:eastAsia="Times New Roman" w:cstheme="minorHAnsi"/>
          <w:color w:val="000000"/>
          <w:lang w:eastAsia="it-IT"/>
        </w:rPr>
        <w:t>pazio aereo europeo</w:t>
      </w:r>
      <w:r>
        <w:rPr>
          <w:rFonts w:eastAsia="Times New Roman" w:cstheme="minorHAnsi"/>
          <w:color w:val="000000"/>
          <w:lang w:eastAsia="it-IT"/>
        </w:rPr>
        <w:t xml:space="preserve"> copre</w:t>
      </w:r>
      <w:r w:rsidR="00AD517C" w:rsidRPr="00AD517C">
        <w:rPr>
          <w:rFonts w:eastAsia="Times New Roman" w:cstheme="minorHAnsi"/>
          <w:color w:val="000000"/>
          <w:lang w:eastAsia="it-IT"/>
        </w:rPr>
        <w:t xml:space="preserve"> 10,8 milioni di km², 60 centri di controllo</w:t>
      </w:r>
      <w:r>
        <w:rPr>
          <w:rFonts w:eastAsia="Times New Roman" w:cstheme="minorHAnsi"/>
          <w:color w:val="000000"/>
          <w:lang w:eastAsia="it-IT"/>
        </w:rPr>
        <w:t>, ergo</w:t>
      </w:r>
      <w:r w:rsidR="00AD517C" w:rsidRPr="00AD517C">
        <w:rPr>
          <w:rFonts w:eastAsia="Times New Roman" w:cstheme="minorHAnsi"/>
          <w:color w:val="000000"/>
          <w:lang w:eastAsia="it-IT"/>
        </w:rPr>
        <w:t xml:space="preserve"> </w:t>
      </w:r>
      <w:r w:rsidR="00A1782D">
        <w:rPr>
          <w:rFonts w:eastAsia="Times New Roman" w:cstheme="minorHAnsi"/>
          <w:color w:val="000000"/>
          <w:lang w:eastAsia="it-IT"/>
        </w:rPr>
        <w:t xml:space="preserve">estrema </w:t>
      </w:r>
      <w:r w:rsidR="00AD517C" w:rsidRPr="00AD517C">
        <w:rPr>
          <w:rFonts w:eastAsia="Times New Roman" w:cstheme="minorHAnsi"/>
          <w:color w:val="000000"/>
          <w:lang w:eastAsia="it-IT"/>
        </w:rPr>
        <w:t xml:space="preserve">frammentazione dello </w:t>
      </w:r>
      <w:r w:rsidR="00A1782D">
        <w:rPr>
          <w:rFonts w:eastAsia="Times New Roman" w:cstheme="minorHAnsi"/>
          <w:color w:val="000000"/>
          <w:lang w:eastAsia="it-IT"/>
        </w:rPr>
        <w:t>stesso.</w:t>
      </w:r>
      <w:r>
        <w:rPr>
          <w:rFonts w:eastAsia="Times New Roman" w:cstheme="minorHAnsi"/>
          <w:color w:val="000000"/>
          <w:lang w:eastAsia="it-IT"/>
        </w:rPr>
        <w:t xml:space="preserve"> </w:t>
      </w:r>
      <w:r w:rsidR="00AD517C" w:rsidRPr="00AD517C">
        <w:rPr>
          <w:rFonts w:eastAsia="Times New Roman" w:cstheme="minorHAnsi"/>
          <w:color w:val="000000"/>
          <w:lang w:eastAsia="it-IT"/>
        </w:rPr>
        <w:t>I costi stimati della frammentazione dello spazio aereo ammont</w:t>
      </w:r>
      <w:r w:rsidR="00A1782D">
        <w:rPr>
          <w:rFonts w:eastAsia="Times New Roman" w:cstheme="minorHAnsi"/>
          <w:color w:val="000000"/>
          <w:lang w:eastAsia="it-IT"/>
        </w:rPr>
        <w:t>erebbero</w:t>
      </w:r>
      <w:r w:rsidR="00AD517C" w:rsidRPr="00AD517C">
        <w:rPr>
          <w:rFonts w:eastAsia="Times New Roman" w:cstheme="minorHAnsi"/>
          <w:color w:val="000000"/>
          <w:lang w:eastAsia="it-IT"/>
        </w:rPr>
        <w:t xml:space="preserve"> a 4 miliardi di euro all'anno.</w:t>
      </w:r>
    </w:p>
    <w:p w14:paraId="04EA9403" w14:textId="4FD1CF77" w:rsidR="00AD517C" w:rsidRDefault="00AA0E7B" w:rsidP="00AD517C">
      <w:pPr>
        <w:shd w:val="clear" w:color="auto" w:fill="FFFFFF"/>
        <w:spacing w:after="150" w:line="240" w:lineRule="auto"/>
        <w:jc w:val="both"/>
        <w:rPr>
          <w:rFonts w:eastAsia="Times New Roman" w:cstheme="minorHAnsi"/>
          <w:color w:val="000000"/>
          <w:lang w:eastAsia="it-IT"/>
        </w:rPr>
      </w:pPr>
      <w:r>
        <w:rPr>
          <w:rFonts w:eastAsia="Times New Roman" w:cstheme="minorHAnsi"/>
          <w:color w:val="000000"/>
          <w:lang w:eastAsia="it-IT"/>
        </w:rPr>
        <w:t>I c</w:t>
      </w:r>
      <w:r w:rsidR="00AD517C" w:rsidRPr="00AD517C">
        <w:rPr>
          <w:rFonts w:eastAsia="Times New Roman" w:cstheme="minorHAnsi"/>
          <w:color w:val="000000"/>
          <w:lang w:eastAsia="it-IT"/>
        </w:rPr>
        <w:t xml:space="preserve">inque grandi </w:t>
      </w:r>
      <w:r>
        <w:rPr>
          <w:rFonts w:eastAsia="Times New Roman" w:cstheme="minorHAnsi"/>
          <w:color w:val="000000"/>
          <w:lang w:eastAsia="it-IT"/>
        </w:rPr>
        <w:t>providers di assistenza al volo</w:t>
      </w:r>
      <w:r w:rsidR="00AD517C" w:rsidRPr="00AD517C">
        <w:rPr>
          <w:rFonts w:eastAsia="Times New Roman" w:cstheme="minorHAnsi"/>
          <w:color w:val="000000"/>
          <w:lang w:eastAsia="it-IT"/>
        </w:rPr>
        <w:t xml:space="preserve"> (DFS per la Germania, DSNA per la Francia, ENAIRE per la Spagna, ENAV per l'Italia e NATS per il Regno Unito) sostengono il 60% dei costi totali europei di fornitura di servizi gate-to-gate e gestiscono il 54% del traffico europeo.</w:t>
      </w:r>
      <w:r>
        <w:rPr>
          <w:rFonts w:eastAsia="Times New Roman" w:cstheme="minorHAnsi"/>
          <w:color w:val="000000"/>
          <w:lang w:eastAsia="it-IT"/>
        </w:rPr>
        <w:t xml:space="preserve"> </w:t>
      </w:r>
      <w:r w:rsidR="00AD517C" w:rsidRPr="00AD517C">
        <w:rPr>
          <w:rFonts w:eastAsia="Times New Roman" w:cstheme="minorHAnsi"/>
          <w:color w:val="000000"/>
          <w:lang w:eastAsia="it-IT"/>
        </w:rPr>
        <w:t>Di conseguenza, il 40% dei rimanenti costi gate-to-gate sono sostenuti da altri 32 ANSP più piccoli.</w:t>
      </w:r>
    </w:p>
    <w:p w14:paraId="3F10F327" w14:textId="5F0CC96F" w:rsidR="00EE20B6" w:rsidRDefault="00EE20B6" w:rsidP="00A1782D">
      <w:pPr>
        <w:shd w:val="clear" w:color="auto" w:fill="FFFFFF"/>
        <w:spacing w:after="0" w:line="276" w:lineRule="auto"/>
        <w:jc w:val="both"/>
        <w:rPr>
          <w:rFonts w:eastAsia="Times New Roman" w:cstheme="minorHAnsi"/>
          <w:color w:val="000000"/>
          <w:lang w:eastAsia="it-IT"/>
        </w:rPr>
      </w:pPr>
      <w:r>
        <w:rPr>
          <w:rFonts w:eastAsia="Times New Roman" w:cstheme="minorHAnsi"/>
          <w:color w:val="000000"/>
          <w:lang w:eastAsia="it-IT"/>
        </w:rPr>
        <w:t>Ora tenuto conto che gli Stati europei che aderiscono ad Eurocontrol sono 41</w:t>
      </w:r>
      <w:r w:rsidR="0082064A">
        <w:rPr>
          <w:rFonts w:eastAsia="Times New Roman" w:cstheme="minorHAnsi"/>
          <w:color w:val="000000"/>
          <w:lang w:eastAsia="it-IT"/>
        </w:rPr>
        <w:t xml:space="preserve">, sinceramente i numeri di cui sopra non </w:t>
      </w:r>
      <w:r w:rsidR="00AB7987">
        <w:rPr>
          <w:rFonts w:eastAsia="Times New Roman" w:cstheme="minorHAnsi"/>
          <w:color w:val="000000"/>
          <w:lang w:eastAsia="it-IT"/>
        </w:rPr>
        <w:t>devono stupire</w:t>
      </w:r>
      <w:r w:rsidR="0082064A">
        <w:rPr>
          <w:rFonts w:eastAsia="Times New Roman" w:cstheme="minorHAnsi"/>
          <w:color w:val="000000"/>
          <w:lang w:eastAsia="it-IT"/>
        </w:rPr>
        <w:t>. Teniamo conto poi che ogni Stato pur avendo un singolo provider di servizi ha suddiviso il suo spazio aereo in più zone</w:t>
      </w:r>
      <w:r w:rsidR="00AB7987">
        <w:rPr>
          <w:rFonts w:eastAsia="Times New Roman" w:cstheme="minorHAnsi"/>
          <w:color w:val="000000"/>
          <w:lang w:eastAsia="it-IT"/>
        </w:rPr>
        <w:t xml:space="preserve"> per assicurare un controllo del traffico più “dedicato” e sicuro.</w:t>
      </w:r>
      <w:r w:rsidR="0082064A">
        <w:rPr>
          <w:rFonts w:eastAsia="Times New Roman" w:cstheme="minorHAnsi"/>
          <w:color w:val="000000"/>
          <w:lang w:eastAsia="it-IT"/>
        </w:rPr>
        <w:t xml:space="preserve"> </w:t>
      </w:r>
      <w:r w:rsidR="00851975">
        <w:rPr>
          <w:rFonts w:eastAsia="Times New Roman" w:cstheme="minorHAnsi"/>
          <w:color w:val="000000"/>
          <w:lang w:eastAsia="it-IT"/>
        </w:rPr>
        <w:t xml:space="preserve"> Chi ha esperienza di volo sa bene che fino </w:t>
      </w:r>
      <w:r w:rsidR="00AB7987">
        <w:rPr>
          <w:rFonts w:eastAsia="Times New Roman" w:cstheme="minorHAnsi"/>
          <w:color w:val="000000"/>
          <w:lang w:eastAsia="it-IT"/>
        </w:rPr>
        <w:t>agli anni novanta</w:t>
      </w:r>
      <w:r w:rsidR="00851975">
        <w:rPr>
          <w:rFonts w:eastAsia="Times New Roman" w:cstheme="minorHAnsi"/>
          <w:color w:val="000000"/>
          <w:lang w:eastAsia="it-IT"/>
        </w:rPr>
        <w:t xml:space="preserve"> il cielo europeo era solcato da aerovie le quali costituivano davvero un instradamento tortuoso e decisamente più lungo, ma da quando è stato istituito il </w:t>
      </w:r>
      <w:r w:rsidR="00AB7987">
        <w:rPr>
          <w:rFonts w:eastAsia="Times New Roman" w:cstheme="minorHAnsi"/>
          <w:color w:val="000000"/>
          <w:lang w:eastAsia="it-IT"/>
        </w:rPr>
        <w:t xml:space="preserve">cosiddetto </w:t>
      </w:r>
      <w:r w:rsidR="00851975" w:rsidRPr="00AB7987">
        <w:rPr>
          <w:rFonts w:eastAsia="Times New Roman" w:cstheme="minorHAnsi"/>
          <w:i/>
          <w:iCs/>
          <w:color w:val="000000"/>
          <w:lang w:eastAsia="it-IT"/>
        </w:rPr>
        <w:t xml:space="preserve">free </w:t>
      </w:r>
      <w:proofErr w:type="spellStart"/>
      <w:r w:rsidR="00851975" w:rsidRPr="00AB7987">
        <w:rPr>
          <w:rFonts w:eastAsia="Times New Roman" w:cstheme="minorHAnsi"/>
          <w:i/>
          <w:iCs/>
          <w:color w:val="000000"/>
          <w:lang w:eastAsia="it-IT"/>
        </w:rPr>
        <w:t>flight</w:t>
      </w:r>
      <w:proofErr w:type="spellEnd"/>
      <w:r w:rsidR="00851975">
        <w:rPr>
          <w:rFonts w:eastAsia="Times New Roman" w:cstheme="minorHAnsi"/>
          <w:color w:val="000000"/>
          <w:lang w:eastAsia="it-IT"/>
        </w:rPr>
        <w:t xml:space="preserve"> gli aerei possono volare praticamente sulla linea più d</w:t>
      </w:r>
      <w:r w:rsidR="00A1782D">
        <w:rPr>
          <w:rFonts w:eastAsia="Times New Roman" w:cstheme="minorHAnsi"/>
          <w:color w:val="000000"/>
          <w:lang w:eastAsia="it-IT"/>
        </w:rPr>
        <w:t>i</w:t>
      </w:r>
      <w:r w:rsidR="00851975">
        <w:rPr>
          <w:rFonts w:eastAsia="Times New Roman" w:cstheme="minorHAnsi"/>
          <w:color w:val="000000"/>
          <w:lang w:eastAsia="it-IT"/>
        </w:rPr>
        <w:t>retta, meteo permettendo</w:t>
      </w:r>
      <w:r w:rsidR="00A1782D">
        <w:rPr>
          <w:rFonts w:eastAsia="Times New Roman" w:cstheme="minorHAnsi"/>
          <w:color w:val="000000"/>
          <w:lang w:eastAsia="it-IT"/>
        </w:rPr>
        <w:t>,</w:t>
      </w:r>
      <w:r w:rsidR="00851975">
        <w:rPr>
          <w:rFonts w:eastAsia="Times New Roman" w:cstheme="minorHAnsi"/>
          <w:color w:val="000000"/>
          <w:lang w:eastAsia="it-IT"/>
        </w:rPr>
        <w:t xml:space="preserve"> o </w:t>
      </w:r>
      <w:r w:rsidR="00851975">
        <w:rPr>
          <w:rFonts w:eastAsia="Times New Roman" w:cstheme="minorHAnsi"/>
          <w:color w:val="000000"/>
          <w:lang w:eastAsia="it-IT"/>
        </w:rPr>
        <w:lastRenderedPageBreak/>
        <w:t>anche tenendo conto della economicità della rotta.  Se si deve parlare di ritardi tutti sanno che questi avvengono nelle aree terminali e non certo lungo il percorso di crociera</w:t>
      </w:r>
      <w:r w:rsidR="00AB7987">
        <w:rPr>
          <w:rFonts w:eastAsia="Times New Roman" w:cstheme="minorHAnsi"/>
          <w:color w:val="000000"/>
          <w:lang w:eastAsia="it-IT"/>
        </w:rPr>
        <w:t xml:space="preserve"> il cui flusso è già sotto la supervisione di Eurocontrol.</w:t>
      </w:r>
    </w:p>
    <w:p w14:paraId="76A7EE12" w14:textId="215DD891" w:rsidR="00AB7987" w:rsidRDefault="00A1782D" w:rsidP="00A1782D">
      <w:pPr>
        <w:shd w:val="clear" w:color="auto" w:fill="FFFFFF"/>
        <w:spacing w:after="150" w:line="276" w:lineRule="auto"/>
        <w:jc w:val="both"/>
        <w:rPr>
          <w:rFonts w:eastAsia="Times New Roman" w:cstheme="minorHAnsi"/>
          <w:color w:val="000000"/>
          <w:lang w:eastAsia="it-IT"/>
        </w:rPr>
      </w:pPr>
      <w:r>
        <w:rPr>
          <w:rFonts w:eastAsia="Times New Roman" w:cstheme="minorHAnsi"/>
          <w:color w:val="000000"/>
          <w:lang w:eastAsia="it-IT"/>
        </w:rPr>
        <w:t>Risale al</w:t>
      </w:r>
      <w:r w:rsidR="00AB7987">
        <w:rPr>
          <w:rFonts w:eastAsia="Times New Roman" w:cstheme="minorHAnsi"/>
          <w:color w:val="000000"/>
          <w:lang w:eastAsia="it-IT"/>
        </w:rPr>
        <w:t xml:space="preserve"> 1991</w:t>
      </w:r>
      <w:r>
        <w:rPr>
          <w:rFonts w:eastAsia="Times New Roman" w:cstheme="minorHAnsi"/>
          <w:color w:val="000000"/>
          <w:lang w:eastAsia="it-IT"/>
        </w:rPr>
        <w:t xml:space="preserve"> la creazione del Future Air </w:t>
      </w:r>
      <w:proofErr w:type="spellStart"/>
      <w:r>
        <w:rPr>
          <w:rFonts w:eastAsia="Times New Roman" w:cstheme="minorHAnsi"/>
          <w:color w:val="000000"/>
          <w:lang w:eastAsia="it-IT"/>
        </w:rPr>
        <w:t>Navigation</w:t>
      </w:r>
      <w:proofErr w:type="spellEnd"/>
      <w:r>
        <w:rPr>
          <w:rFonts w:eastAsia="Times New Roman" w:cstheme="minorHAnsi"/>
          <w:color w:val="000000"/>
          <w:lang w:eastAsia="it-IT"/>
        </w:rPr>
        <w:t xml:space="preserve"> System Panel da parte dell’ICAO,</w:t>
      </w:r>
      <w:r w:rsidR="00AB7987" w:rsidRPr="00AB7987">
        <w:rPr>
          <w:rFonts w:eastAsia="Times New Roman" w:cstheme="minorHAnsi"/>
          <w:color w:val="000000"/>
          <w:lang w:eastAsia="it-IT"/>
        </w:rPr>
        <w:t xml:space="preserve"> l'Organizzazione Internazionale dell'Aviazione Civile. Il </w:t>
      </w:r>
      <w:r w:rsidR="00AB7987">
        <w:rPr>
          <w:rFonts w:eastAsia="Times New Roman" w:cstheme="minorHAnsi"/>
          <w:color w:val="000000"/>
          <w:lang w:eastAsia="it-IT"/>
        </w:rPr>
        <w:t>comitato</w:t>
      </w:r>
      <w:r w:rsidR="00AB7987" w:rsidRPr="00AB7987">
        <w:rPr>
          <w:rFonts w:eastAsia="Times New Roman" w:cstheme="minorHAnsi"/>
          <w:color w:val="000000"/>
          <w:lang w:eastAsia="it-IT"/>
        </w:rPr>
        <w:t xml:space="preserve"> ha prodotto descrizioni di applicazioni tecnologiche basate sui satelliti e il loro uso nella gestione del traffico aereo. Un ruolo maggiore è</w:t>
      </w:r>
      <w:r>
        <w:rPr>
          <w:rFonts w:eastAsia="Times New Roman" w:cstheme="minorHAnsi"/>
          <w:color w:val="000000"/>
          <w:lang w:eastAsia="it-IT"/>
        </w:rPr>
        <w:t xml:space="preserve"> poi</w:t>
      </w:r>
      <w:r w:rsidR="00AB7987" w:rsidRPr="00AB7987">
        <w:rPr>
          <w:rFonts w:eastAsia="Times New Roman" w:cstheme="minorHAnsi"/>
          <w:color w:val="000000"/>
          <w:lang w:eastAsia="it-IT"/>
        </w:rPr>
        <w:t xml:space="preserve"> emerso per la "traiettoria definita dall'utente" che è diventata nota come "volo libero" dalla metà degli anni '90.</w:t>
      </w:r>
    </w:p>
    <w:p w14:paraId="4FAB8C59" w14:textId="78246AD9" w:rsidR="00AB7987" w:rsidRDefault="002E5C1C" w:rsidP="00A1782D">
      <w:pPr>
        <w:shd w:val="clear" w:color="auto" w:fill="FFFFFF"/>
        <w:spacing w:after="150" w:line="276" w:lineRule="auto"/>
        <w:jc w:val="both"/>
        <w:rPr>
          <w:rFonts w:eastAsia="Times New Roman" w:cstheme="minorHAnsi"/>
          <w:color w:val="000000"/>
          <w:lang w:eastAsia="it-IT"/>
        </w:rPr>
      </w:pPr>
      <w:r>
        <w:rPr>
          <w:rFonts w:eastAsia="Times New Roman" w:cstheme="minorHAnsi"/>
          <w:color w:val="000000"/>
          <w:lang w:eastAsia="it-IT"/>
        </w:rPr>
        <w:t>Sull’argomento</w:t>
      </w:r>
      <w:r w:rsidR="00A1782D">
        <w:rPr>
          <w:rFonts w:eastAsia="Times New Roman" w:cstheme="minorHAnsi"/>
          <w:color w:val="000000"/>
          <w:lang w:eastAsia="it-IT"/>
        </w:rPr>
        <w:t xml:space="preserve"> riguardante la ridefinizione dei Centri di Controllo</w:t>
      </w:r>
      <w:r>
        <w:rPr>
          <w:rFonts w:eastAsia="Times New Roman" w:cstheme="minorHAnsi"/>
          <w:color w:val="000000"/>
          <w:lang w:eastAsia="it-IT"/>
        </w:rPr>
        <w:t xml:space="preserve"> non può non inserirsi l’aspetto occupazionale. </w:t>
      </w:r>
      <w:r w:rsidR="00A1782D">
        <w:rPr>
          <w:rFonts w:eastAsia="Times New Roman" w:cstheme="minorHAnsi"/>
          <w:color w:val="000000"/>
          <w:lang w:eastAsia="it-IT"/>
        </w:rPr>
        <w:t xml:space="preserve">A tal </w:t>
      </w:r>
      <w:r>
        <w:rPr>
          <w:rFonts w:eastAsia="Times New Roman" w:cstheme="minorHAnsi"/>
          <w:color w:val="000000"/>
          <w:lang w:eastAsia="it-IT"/>
        </w:rPr>
        <w:t>proposito</w:t>
      </w:r>
      <w:r w:rsidR="00A1782D">
        <w:rPr>
          <w:rFonts w:eastAsia="Times New Roman" w:cstheme="minorHAnsi"/>
          <w:color w:val="000000"/>
          <w:lang w:eastAsia="it-IT"/>
        </w:rPr>
        <w:t xml:space="preserve"> val la pena ricordare</w:t>
      </w:r>
      <w:r>
        <w:rPr>
          <w:rFonts w:eastAsia="Times New Roman" w:cstheme="minorHAnsi"/>
          <w:color w:val="000000"/>
          <w:lang w:eastAsia="it-IT"/>
        </w:rPr>
        <w:t xml:space="preserve"> quanto accaduto</w:t>
      </w:r>
      <w:r w:rsidR="00A1782D">
        <w:rPr>
          <w:rFonts w:eastAsia="Times New Roman" w:cstheme="minorHAnsi"/>
          <w:color w:val="000000"/>
          <w:lang w:eastAsia="it-IT"/>
        </w:rPr>
        <w:t xml:space="preserve"> appena un anno fa,</w:t>
      </w:r>
      <w:r>
        <w:rPr>
          <w:rFonts w:eastAsia="Times New Roman" w:cstheme="minorHAnsi"/>
          <w:color w:val="000000"/>
          <w:lang w:eastAsia="it-IT"/>
        </w:rPr>
        <w:t xml:space="preserve"> nel febbraio 2020</w:t>
      </w:r>
      <w:r w:rsidR="00A1782D">
        <w:rPr>
          <w:rFonts w:eastAsia="Times New Roman" w:cstheme="minorHAnsi"/>
          <w:color w:val="000000"/>
          <w:lang w:eastAsia="it-IT"/>
        </w:rPr>
        <w:t>,</w:t>
      </w:r>
      <w:r>
        <w:rPr>
          <w:rFonts w:eastAsia="Times New Roman" w:cstheme="minorHAnsi"/>
          <w:color w:val="000000"/>
          <w:lang w:eastAsia="it-IT"/>
        </w:rPr>
        <w:t xml:space="preserve"> a</w:t>
      </w:r>
      <w:proofErr w:type="spellStart"/>
      <w:r>
        <w:rPr>
          <w:rFonts w:eastAsia="Times New Roman" w:cstheme="minorHAnsi"/>
          <w:color w:val="000000"/>
          <w:lang w:eastAsia="it-IT"/>
        </w:rPr>
        <w:t>llorchè</w:t>
      </w:r>
      <w:proofErr w:type="spellEnd"/>
      <w:r>
        <w:rPr>
          <w:rFonts w:eastAsia="Times New Roman" w:cstheme="minorHAnsi"/>
          <w:color w:val="000000"/>
          <w:lang w:eastAsia="it-IT"/>
        </w:rPr>
        <w:t xml:space="preserve"> l’ENAV paventò l’ipotesi di accorpare il centro controllo di Brindisi con quello di Roma.</w:t>
      </w:r>
    </w:p>
    <w:p w14:paraId="004E6362" w14:textId="5A474672" w:rsidR="002E5C1C" w:rsidRDefault="002E5C1C" w:rsidP="00AD517C">
      <w:pPr>
        <w:shd w:val="clear" w:color="auto" w:fill="FFFFFF"/>
        <w:spacing w:after="150" w:line="240" w:lineRule="auto"/>
        <w:jc w:val="both"/>
        <w:rPr>
          <w:rFonts w:eastAsia="Times New Roman" w:cstheme="minorHAnsi"/>
          <w:color w:val="000000"/>
          <w:lang w:eastAsia="it-IT"/>
        </w:rPr>
      </w:pPr>
    </w:p>
    <w:p w14:paraId="7B6664D2" w14:textId="7358F371" w:rsidR="002E5C1C" w:rsidRPr="00AD517C" w:rsidRDefault="002E5C1C" w:rsidP="002E5C1C">
      <w:pPr>
        <w:shd w:val="clear" w:color="auto" w:fill="FFFFFF"/>
        <w:spacing w:after="150" w:line="240" w:lineRule="auto"/>
        <w:jc w:val="center"/>
        <w:rPr>
          <w:rFonts w:eastAsia="Times New Roman" w:cstheme="minorHAnsi"/>
          <w:color w:val="000000"/>
          <w:lang w:eastAsia="it-IT"/>
        </w:rPr>
      </w:pPr>
      <w:r w:rsidRPr="002E5C1C">
        <w:rPr>
          <w:rFonts w:eastAsia="Times New Roman" w:cstheme="minorHAnsi"/>
          <w:noProof/>
          <w:color w:val="000000"/>
          <w:bdr w:val="single" w:sz="12" w:space="0" w:color="auto"/>
          <w:lang w:eastAsia="it-IT"/>
        </w:rPr>
        <w:drawing>
          <wp:inline distT="0" distB="0" distL="0" distR="0" wp14:anchorId="368028C4" wp14:editId="0FAF625E">
            <wp:extent cx="2192400" cy="3661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a:extLst>
                        <a:ext uri="{28A0092B-C50C-407E-A947-70E740481C1C}">
                          <a14:useLocalDpi xmlns:a14="http://schemas.microsoft.com/office/drawing/2010/main" val="0"/>
                        </a:ext>
                      </a:extLst>
                    </a:blip>
                    <a:stretch>
                      <a:fillRect/>
                    </a:stretch>
                  </pic:blipFill>
                  <pic:spPr>
                    <a:xfrm>
                      <a:off x="0" y="0"/>
                      <a:ext cx="2192400" cy="3661200"/>
                    </a:xfrm>
                    <a:prstGeom prst="rect">
                      <a:avLst/>
                    </a:prstGeom>
                  </pic:spPr>
                </pic:pic>
              </a:graphicData>
            </a:graphic>
          </wp:inline>
        </w:drawing>
      </w:r>
    </w:p>
    <w:p w14:paraId="24177607" w14:textId="77777777" w:rsidR="000D6925" w:rsidRPr="000D6925" w:rsidRDefault="000D6925" w:rsidP="000D6925">
      <w:pPr>
        <w:shd w:val="clear" w:color="auto" w:fill="FFFFFF"/>
        <w:spacing w:after="150" w:line="240" w:lineRule="auto"/>
        <w:jc w:val="both"/>
        <w:rPr>
          <w:rFonts w:eastAsia="Times New Roman" w:cstheme="minorHAnsi"/>
          <w:color w:val="000000"/>
          <w:lang w:eastAsia="it-IT"/>
        </w:rPr>
      </w:pPr>
    </w:p>
    <w:p w14:paraId="3096D9AA" w14:textId="4598FF80" w:rsidR="000D6925" w:rsidRDefault="00A1782D" w:rsidP="00583587">
      <w:pPr>
        <w:rPr>
          <w:rFonts w:cstheme="minorHAnsi"/>
          <w:color w:val="FF0000"/>
          <w:sz w:val="18"/>
          <w:szCs w:val="18"/>
          <w:shd w:val="clear" w:color="auto" w:fill="FFFFFF"/>
        </w:rPr>
      </w:pPr>
      <w:r w:rsidRPr="008338CE">
        <w:rPr>
          <w:rFonts w:cstheme="minorHAnsi"/>
          <w:color w:val="000000"/>
          <w:shd w:val="clear" w:color="auto" w:fill="FFFFFF"/>
        </w:rPr>
        <w:t xml:space="preserve">Dietro a quel </w:t>
      </w:r>
      <w:proofErr w:type="gramStart"/>
      <w:r w:rsidRPr="008338CE">
        <w:rPr>
          <w:rFonts w:cstheme="minorHAnsi"/>
          <w:color w:val="000000"/>
          <w:shd w:val="clear" w:color="auto" w:fill="FFFFFF"/>
        </w:rPr>
        <w:t>progetto  vi</w:t>
      </w:r>
      <w:proofErr w:type="gramEnd"/>
      <w:r w:rsidRPr="008338CE">
        <w:rPr>
          <w:rFonts w:cstheme="minorHAnsi"/>
          <w:color w:val="000000"/>
          <w:shd w:val="clear" w:color="auto" w:fill="FFFFFF"/>
        </w:rPr>
        <w:t xml:space="preserve"> era l</w:t>
      </w:r>
      <w:r w:rsidR="00EC0DB5" w:rsidRPr="008338CE">
        <w:rPr>
          <w:rFonts w:cstheme="minorHAnsi"/>
          <w:color w:val="000000"/>
          <w:shd w:val="clear" w:color="auto" w:fill="FFFFFF"/>
        </w:rPr>
        <w:t xml:space="preserve">’imperativo per </w:t>
      </w:r>
      <w:r w:rsidRPr="008338CE">
        <w:rPr>
          <w:rFonts w:cstheme="minorHAnsi"/>
          <w:color w:val="000000"/>
          <w:shd w:val="clear" w:color="auto" w:fill="FFFFFF"/>
        </w:rPr>
        <w:t>l’</w:t>
      </w:r>
      <w:r w:rsidR="00EC0DB5" w:rsidRPr="008338CE">
        <w:rPr>
          <w:rFonts w:cstheme="minorHAnsi"/>
          <w:color w:val="000000"/>
          <w:shd w:val="clear" w:color="auto" w:fill="FFFFFF"/>
        </w:rPr>
        <w:t xml:space="preserve">Enav </w:t>
      </w:r>
      <w:r w:rsidRPr="008338CE">
        <w:rPr>
          <w:rFonts w:cstheme="minorHAnsi"/>
          <w:color w:val="000000"/>
          <w:shd w:val="clear" w:color="auto" w:fill="FFFFFF"/>
        </w:rPr>
        <w:t>di</w:t>
      </w:r>
      <w:r w:rsidR="00EC0DB5" w:rsidRPr="008338CE">
        <w:rPr>
          <w:rFonts w:cstheme="minorHAnsi"/>
          <w:color w:val="000000"/>
          <w:shd w:val="clear" w:color="auto" w:fill="FFFFFF"/>
        </w:rPr>
        <w:t xml:space="preserve"> consolidare (entro il 2022) i quattro centri di controllo</w:t>
      </w:r>
      <w:r w:rsidR="008338CE">
        <w:rPr>
          <w:rFonts w:cstheme="minorHAnsi"/>
          <w:color w:val="000000"/>
          <w:shd w:val="clear" w:color="auto" w:fill="FFFFFF"/>
        </w:rPr>
        <w:t xml:space="preserve"> italiani</w:t>
      </w:r>
      <w:r w:rsidR="00EC0DB5" w:rsidRPr="008338CE">
        <w:rPr>
          <w:rFonts w:cstheme="minorHAnsi"/>
          <w:color w:val="000000"/>
          <w:shd w:val="clear" w:color="auto" w:fill="FFFFFF"/>
        </w:rPr>
        <w:t xml:space="preserve"> sulle due sedi di Roma e Milano; </w:t>
      </w:r>
      <w:r w:rsidR="008338CE">
        <w:rPr>
          <w:rFonts w:cstheme="minorHAnsi"/>
          <w:color w:val="000000"/>
          <w:shd w:val="clear" w:color="auto" w:fill="FFFFFF"/>
        </w:rPr>
        <w:t>dopo Brindisi si proponeva la ristrutturazione</w:t>
      </w:r>
      <w:r w:rsidR="00EC0DB5" w:rsidRPr="008338CE">
        <w:rPr>
          <w:rFonts w:cstheme="minorHAnsi"/>
          <w:color w:val="000000"/>
          <w:shd w:val="clear" w:color="auto" w:fill="FFFFFF"/>
        </w:rPr>
        <w:t xml:space="preserve"> anche</w:t>
      </w:r>
      <w:r w:rsidR="008338CE">
        <w:rPr>
          <w:rFonts w:cstheme="minorHAnsi"/>
          <w:color w:val="000000"/>
          <w:shd w:val="clear" w:color="auto" w:fill="FFFFFF"/>
        </w:rPr>
        <w:t xml:space="preserve"> di</w:t>
      </w:r>
      <w:r w:rsidR="00EC0DB5" w:rsidRPr="008338CE">
        <w:rPr>
          <w:rFonts w:cstheme="minorHAnsi"/>
          <w:color w:val="000000"/>
          <w:shd w:val="clear" w:color="auto" w:fill="FFFFFF"/>
        </w:rPr>
        <w:t xml:space="preserve"> quello di Padova. </w:t>
      </w:r>
      <w:r w:rsidR="008338CE" w:rsidRPr="008338CE">
        <w:rPr>
          <w:rFonts w:cstheme="minorHAnsi"/>
          <w:color w:val="000000"/>
          <w:shd w:val="clear" w:color="auto" w:fill="FFFFFF"/>
        </w:rPr>
        <w:t>“</w:t>
      </w:r>
      <w:r w:rsidR="00EC0DB5" w:rsidRPr="008338CE">
        <w:rPr>
          <w:rFonts w:cstheme="minorHAnsi"/>
          <w:i/>
          <w:iCs/>
          <w:color w:val="000000"/>
          <w:shd w:val="clear" w:color="auto" w:fill="FFFFFF"/>
        </w:rPr>
        <w:t>Forse gestire solo due centri, invece di quattro, nelle varie attività di controllo e di avvicinamento nei vari aeroporti italiani significa più professionalità e più sicurezza? Pensiamo a quello che sta accadendo nei vari aeroporti per il caso del virus SARS-CoV-</w:t>
      </w:r>
      <w:proofErr w:type="gramStart"/>
      <w:r w:rsidR="00EC0DB5" w:rsidRPr="008338CE">
        <w:rPr>
          <w:rFonts w:cstheme="minorHAnsi"/>
          <w:i/>
          <w:iCs/>
          <w:color w:val="000000"/>
          <w:shd w:val="clear" w:color="auto" w:fill="FFFFFF"/>
        </w:rPr>
        <w:t>2  e</w:t>
      </w:r>
      <w:proofErr w:type="gramEnd"/>
      <w:r w:rsidR="00EC0DB5" w:rsidRPr="008338CE">
        <w:rPr>
          <w:rFonts w:cstheme="minorHAnsi"/>
          <w:i/>
          <w:iCs/>
          <w:color w:val="000000"/>
          <w:shd w:val="clear" w:color="auto" w:fill="FFFFFF"/>
        </w:rPr>
        <w:t xml:space="preserve"> ai vari ritardi negli arrivi e nelle partenze.  Sostanzialmente, i due centri, quelli di Brindisi e di Padova, verranno gradualmente trasformati nei due hub dai quali progressivamente verranno gestite da remoto le torri di controllo e le attività principali di altri aeroporti e lo sviluppo delle tecnologie ad essi pertinenti</w:t>
      </w:r>
      <w:r w:rsidR="00EC0DB5" w:rsidRPr="008338CE">
        <w:rPr>
          <w:rFonts w:cstheme="minorHAnsi"/>
          <w:color w:val="000000"/>
          <w:shd w:val="clear" w:color="auto" w:fill="FFFFFF"/>
        </w:rPr>
        <w:t>.</w:t>
      </w:r>
      <w:r w:rsidR="008338CE">
        <w:rPr>
          <w:rFonts w:cstheme="minorHAnsi"/>
          <w:color w:val="000000"/>
          <w:shd w:val="clear" w:color="auto" w:fill="FFFFFF"/>
        </w:rPr>
        <w:t xml:space="preserve">” </w:t>
      </w:r>
      <w:r w:rsidR="00EC0DB5">
        <w:rPr>
          <w:rFonts w:ascii="Georgia" w:hAnsi="Georgia"/>
          <w:color w:val="000000"/>
          <w:sz w:val="20"/>
          <w:szCs w:val="20"/>
          <w:shd w:val="clear" w:color="auto" w:fill="FFFFFF"/>
        </w:rPr>
        <w:t xml:space="preserve"> </w:t>
      </w:r>
      <w:r w:rsidR="00EC0DB5" w:rsidRPr="008338CE">
        <w:rPr>
          <w:rFonts w:cstheme="minorHAnsi"/>
          <w:color w:val="FF0000"/>
          <w:sz w:val="18"/>
          <w:szCs w:val="18"/>
          <w:shd w:val="clear" w:color="auto" w:fill="FFFFFF"/>
        </w:rPr>
        <w:t>(5)</w:t>
      </w:r>
    </w:p>
    <w:p w14:paraId="2CE5ABB4" w14:textId="59810E0A" w:rsidR="008338CE" w:rsidRPr="008338CE" w:rsidRDefault="008338CE" w:rsidP="00583587">
      <w:pPr>
        <w:rPr>
          <w:rFonts w:cstheme="minorHAnsi"/>
        </w:rPr>
      </w:pPr>
      <w:r w:rsidRPr="008338CE">
        <w:rPr>
          <w:rFonts w:cstheme="minorHAnsi"/>
          <w:shd w:val="clear" w:color="auto" w:fill="FFFFFF"/>
        </w:rPr>
        <w:t>Ora</w:t>
      </w:r>
      <w:r>
        <w:rPr>
          <w:rFonts w:cstheme="minorHAnsi"/>
          <w:shd w:val="clear" w:color="auto" w:fill="FFFFFF"/>
        </w:rPr>
        <w:t xml:space="preserve"> la domanda che è lecito porsi è quanto sia opportuno riproporre l’idea di un centro sovranazionale che gestisca il traffico aereo di più nazioni, quando scendendo all’interno delle singole realtà nazionali già troviamo ostacoli come quello da noi ricordato di Brindisi?</w:t>
      </w:r>
    </w:p>
    <w:p w14:paraId="0A1200D2" w14:textId="6FB63E45" w:rsidR="002F272F" w:rsidRDefault="002F272F"/>
    <w:p w14:paraId="3D7FCFEF" w14:textId="7E1FA08D" w:rsidR="002F272F" w:rsidRPr="00ED73ED" w:rsidRDefault="002F272F" w:rsidP="002F272F">
      <w:pPr>
        <w:pStyle w:val="Paragrafoelenco"/>
        <w:numPr>
          <w:ilvl w:val="0"/>
          <w:numId w:val="1"/>
        </w:numPr>
        <w:rPr>
          <w:sz w:val="18"/>
          <w:szCs w:val="18"/>
        </w:rPr>
      </w:pPr>
      <w:r w:rsidRPr="00ED73ED">
        <w:rPr>
          <w:sz w:val="18"/>
          <w:szCs w:val="18"/>
        </w:rPr>
        <w:lastRenderedPageBreak/>
        <w:t xml:space="preserve">Il 26 ottobre 1958 era entrato in servizio il Boeing 707 in contemporanea con il </w:t>
      </w:r>
      <w:proofErr w:type="spellStart"/>
      <w:r w:rsidRPr="00ED73ED">
        <w:rPr>
          <w:sz w:val="18"/>
          <w:szCs w:val="18"/>
        </w:rPr>
        <w:t>Comet</w:t>
      </w:r>
      <w:proofErr w:type="spellEnd"/>
      <w:r w:rsidRPr="00ED73ED">
        <w:rPr>
          <w:sz w:val="18"/>
          <w:szCs w:val="18"/>
        </w:rPr>
        <w:t xml:space="preserve"> 4 britannico. </w:t>
      </w:r>
      <w:r w:rsidR="00D334DE" w:rsidRPr="00ED73ED">
        <w:rPr>
          <w:sz w:val="18"/>
          <w:szCs w:val="18"/>
        </w:rPr>
        <w:t>Il 12 maggio</w:t>
      </w:r>
      <w:r w:rsidRPr="00ED73ED">
        <w:rPr>
          <w:sz w:val="18"/>
          <w:szCs w:val="18"/>
        </w:rPr>
        <w:t xml:space="preserve"> 1959 era entrato in servizio il bireattore </w:t>
      </w:r>
      <w:r w:rsidR="00AA0E7B">
        <w:rPr>
          <w:sz w:val="18"/>
          <w:szCs w:val="18"/>
        </w:rPr>
        <w:t>C</w:t>
      </w:r>
      <w:r w:rsidRPr="00ED73ED">
        <w:rPr>
          <w:sz w:val="18"/>
          <w:szCs w:val="18"/>
        </w:rPr>
        <w:t>aravelle</w:t>
      </w:r>
      <w:r w:rsidR="00D334DE" w:rsidRPr="00ED73ED">
        <w:rPr>
          <w:sz w:val="18"/>
          <w:szCs w:val="18"/>
        </w:rPr>
        <w:t>.</w:t>
      </w:r>
      <w:r w:rsidR="008338CE">
        <w:rPr>
          <w:sz w:val="18"/>
          <w:szCs w:val="18"/>
        </w:rPr>
        <w:t xml:space="preserve"> </w:t>
      </w:r>
    </w:p>
    <w:p w14:paraId="2898C9C0" w14:textId="25E3830C" w:rsidR="00D334DE" w:rsidRDefault="00D334DE" w:rsidP="002F272F">
      <w:pPr>
        <w:pStyle w:val="Paragrafoelenco"/>
        <w:numPr>
          <w:ilvl w:val="0"/>
          <w:numId w:val="1"/>
        </w:numPr>
        <w:rPr>
          <w:sz w:val="18"/>
          <w:szCs w:val="18"/>
          <w:lang w:val="en-GB"/>
        </w:rPr>
      </w:pPr>
      <w:r w:rsidRPr="00ED73ED">
        <w:rPr>
          <w:sz w:val="18"/>
          <w:szCs w:val="18"/>
          <w:lang w:val="en-GB"/>
        </w:rPr>
        <w:t xml:space="preserve">ICAO “Annual Report of the Council to the Assembly for 1960” </w:t>
      </w:r>
      <w:proofErr w:type="spellStart"/>
      <w:r w:rsidRPr="00ED73ED">
        <w:rPr>
          <w:sz w:val="18"/>
          <w:szCs w:val="18"/>
          <w:lang w:val="en-GB"/>
        </w:rPr>
        <w:t>pag</w:t>
      </w:r>
      <w:proofErr w:type="spellEnd"/>
      <w:r w:rsidRPr="00ED73ED">
        <w:rPr>
          <w:sz w:val="18"/>
          <w:szCs w:val="18"/>
          <w:lang w:val="en-GB"/>
        </w:rPr>
        <w:t>. 19</w:t>
      </w:r>
    </w:p>
    <w:p w14:paraId="24273CD3" w14:textId="1B72D3DC" w:rsidR="000D6925" w:rsidRDefault="003B3623" w:rsidP="002F272F">
      <w:pPr>
        <w:pStyle w:val="Paragrafoelenco"/>
        <w:numPr>
          <w:ilvl w:val="0"/>
          <w:numId w:val="1"/>
        </w:numPr>
        <w:rPr>
          <w:sz w:val="18"/>
          <w:szCs w:val="18"/>
          <w:lang w:val="en-GB"/>
        </w:rPr>
      </w:pPr>
      <w:hyperlink r:id="rId9" w:history="1">
        <w:r w:rsidR="00AD517C" w:rsidRPr="007D1109">
          <w:rPr>
            <w:rStyle w:val="Collegamentoipertestuale"/>
            <w:sz w:val="18"/>
            <w:szCs w:val="18"/>
            <w:lang w:val="en-GB"/>
          </w:rPr>
          <w:t>https://www.fasi.biz/it/notizie/strategie/22597-single-european-sky-cielo-unico-europeo.html</w:t>
        </w:r>
      </w:hyperlink>
    </w:p>
    <w:p w14:paraId="3CEB0DD0" w14:textId="219F6F37" w:rsidR="00AD517C" w:rsidRDefault="003B3623" w:rsidP="002F272F">
      <w:pPr>
        <w:pStyle w:val="Paragrafoelenco"/>
        <w:numPr>
          <w:ilvl w:val="0"/>
          <w:numId w:val="1"/>
        </w:numPr>
        <w:rPr>
          <w:sz w:val="18"/>
          <w:szCs w:val="18"/>
        </w:rPr>
      </w:pPr>
      <w:hyperlink r:id="rId10" w:history="1">
        <w:r w:rsidR="00851975" w:rsidRPr="00851975">
          <w:rPr>
            <w:rStyle w:val="Collegamentoipertestuale"/>
            <w:sz w:val="18"/>
            <w:szCs w:val="18"/>
          </w:rPr>
          <w:t>https://ec.europa.eu/transport/modes/air/ses_en</w:t>
        </w:r>
      </w:hyperlink>
      <w:r w:rsidR="00851975" w:rsidRPr="00851975">
        <w:rPr>
          <w:sz w:val="18"/>
          <w:szCs w:val="18"/>
        </w:rPr>
        <w:t xml:space="preserve"> ; I </w:t>
      </w:r>
      <w:r w:rsidR="00851975">
        <w:rPr>
          <w:sz w:val="18"/>
          <w:szCs w:val="18"/>
        </w:rPr>
        <w:t>dati ripresi da questa fonte facevano riferimento all’anno 2014.</w:t>
      </w:r>
    </w:p>
    <w:p w14:paraId="7C7A42A8" w14:textId="635934D5" w:rsidR="00EC0DB5" w:rsidRPr="00851975" w:rsidRDefault="00EC0DB5" w:rsidP="002F272F">
      <w:pPr>
        <w:pStyle w:val="Paragrafoelenco"/>
        <w:numPr>
          <w:ilvl w:val="0"/>
          <w:numId w:val="1"/>
        </w:numPr>
        <w:rPr>
          <w:sz w:val="18"/>
          <w:szCs w:val="18"/>
        </w:rPr>
      </w:pPr>
      <w:r w:rsidRPr="00EC0DB5">
        <w:rPr>
          <w:sz w:val="18"/>
          <w:szCs w:val="18"/>
        </w:rPr>
        <w:t>http://www.ilnautilus.it/trasporti/2020-02-15/i-controllori-di-volo-di-brindisi-scrivono-al-premier-conte_72901/</w:t>
      </w:r>
    </w:p>
    <w:p w14:paraId="64FD663F" w14:textId="4A90EBAD" w:rsidR="000761C7" w:rsidRPr="00851975" w:rsidRDefault="000761C7" w:rsidP="006B7D17">
      <w:pPr>
        <w:rPr>
          <w:sz w:val="18"/>
          <w:szCs w:val="18"/>
        </w:rPr>
      </w:pPr>
    </w:p>
    <w:p w14:paraId="77709743" w14:textId="3567E6AB" w:rsidR="006B7D17" w:rsidRPr="00851975" w:rsidRDefault="006B7D17" w:rsidP="006B7D17">
      <w:pPr>
        <w:rPr>
          <w:sz w:val="18"/>
          <w:szCs w:val="18"/>
        </w:rPr>
      </w:pPr>
    </w:p>
    <w:p w14:paraId="6E08F560" w14:textId="78355943" w:rsidR="006B7D17" w:rsidRDefault="00A63A09" w:rsidP="006B7D17">
      <w:pPr>
        <w:jc w:val="center"/>
        <w:rPr>
          <w:b/>
          <w:bCs/>
          <w:i/>
          <w:iCs/>
          <w:color w:val="2F5496" w:themeColor="accent1" w:themeShade="BF"/>
          <w:sz w:val="20"/>
          <w:szCs w:val="20"/>
        </w:rPr>
      </w:pPr>
      <w:hyperlink r:id="rId11" w:history="1">
        <w:r w:rsidRPr="00A10C5D">
          <w:rPr>
            <w:rStyle w:val="Collegamentoipertestuale"/>
            <w:b/>
            <w:bCs/>
            <w:i/>
            <w:iCs/>
            <w:sz w:val="20"/>
            <w:szCs w:val="20"/>
          </w:rPr>
          <w:t>www.aviation-industry-news.com</w:t>
        </w:r>
      </w:hyperlink>
    </w:p>
    <w:p w14:paraId="0FBF9AC9" w14:textId="7FA4E705" w:rsidR="00A63A09" w:rsidRDefault="00A63A09" w:rsidP="006B7D17">
      <w:pPr>
        <w:jc w:val="center"/>
        <w:rPr>
          <w:b/>
          <w:bCs/>
          <w:i/>
          <w:iCs/>
          <w:color w:val="2F5496" w:themeColor="accent1" w:themeShade="BF"/>
          <w:sz w:val="20"/>
          <w:szCs w:val="20"/>
        </w:rPr>
      </w:pPr>
    </w:p>
    <w:p w14:paraId="743FAA92" w14:textId="67C0288F" w:rsidR="00A63A09" w:rsidRPr="00A63A09" w:rsidRDefault="00A63A09" w:rsidP="003B3623">
      <w:pPr>
        <w:rPr>
          <w:b/>
          <w:bCs/>
          <w:i/>
          <w:iCs/>
          <w:sz w:val="28"/>
          <w:szCs w:val="28"/>
        </w:rPr>
      </w:pPr>
      <w:r w:rsidRPr="00A63A09">
        <w:rPr>
          <w:b/>
          <w:bCs/>
          <w:i/>
          <w:iCs/>
          <w:sz w:val="28"/>
          <w:szCs w:val="28"/>
        </w:rPr>
        <w:t>Fresco di stampa per voi:</w:t>
      </w:r>
    </w:p>
    <w:p w14:paraId="715E85E3" w14:textId="3ADFE18E" w:rsidR="00075962" w:rsidRPr="00A63A09" w:rsidRDefault="00075962"/>
    <w:p w14:paraId="59142E91" w14:textId="6CEC9306" w:rsidR="00A63A09" w:rsidRDefault="00A63A09" w:rsidP="00A63A09">
      <w:pPr>
        <w:rPr>
          <w:b/>
          <w:bCs/>
          <w:i/>
          <w:iCs/>
        </w:rPr>
      </w:pPr>
      <w:r>
        <w:rPr>
          <w:noProof/>
          <w:lang w:val="en-GB"/>
        </w:rPr>
        <w:drawing>
          <wp:inline distT="0" distB="0" distL="0" distR="0" wp14:anchorId="071F165C" wp14:editId="4001F0AC">
            <wp:extent cx="2037600" cy="2883600"/>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7600" cy="2883600"/>
                    </a:xfrm>
                    <a:prstGeom prst="rect">
                      <a:avLst/>
                    </a:prstGeom>
                  </pic:spPr>
                </pic:pic>
              </a:graphicData>
            </a:graphic>
          </wp:inline>
        </w:drawing>
      </w:r>
      <w:r>
        <w:rPr>
          <w:noProof/>
          <w:lang w:val="en-GB"/>
        </w:rPr>
        <w:drawing>
          <wp:inline distT="0" distB="0" distL="0" distR="0" wp14:anchorId="0A622954" wp14:editId="36B26C17">
            <wp:extent cx="3348000" cy="2876400"/>
            <wp:effectExtent l="0" t="0" r="508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3">
                      <a:extLst>
                        <a:ext uri="{28A0092B-C50C-407E-A947-70E740481C1C}">
                          <a14:useLocalDpi xmlns:a14="http://schemas.microsoft.com/office/drawing/2010/main" val="0"/>
                        </a:ext>
                      </a:extLst>
                    </a:blip>
                    <a:stretch>
                      <a:fillRect/>
                    </a:stretch>
                  </pic:blipFill>
                  <pic:spPr>
                    <a:xfrm>
                      <a:off x="0" y="0"/>
                      <a:ext cx="3348000" cy="2876400"/>
                    </a:xfrm>
                    <a:prstGeom prst="rect">
                      <a:avLst/>
                    </a:prstGeom>
                  </pic:spPr>
                </pic:pic>
              </a:graphicData>
            </a:graphic>
          </wp:inline>
        </w:drawing>
      </w:r>
    </w:p>
    <w:p w14:paraId="4AD13B06" w14:textId="27416CB6" w:rsidR="00A63A09" w:rsidRDefault="00A63A09" w:rsidP="00A63A09">
      <w:pPr>
        <w:rPr>
          <w:b/>
          <w:bCs/>
          <w:i/>
          <w:iCs/>
        </w:rPr>
      </w:pPr>
    </w:p>
    <w:p w14:paraId="13F43765" w14:textId="51C0E51F" w:rsidR="00A63A09" w:rsidRDefault="00A63A09" w:rsidP="00A63A09">
      <w:pPr>
        <w:rPr>
          <w:b/>
          <w:bCs/>
          <w:i/>
          <w:iCs/>
        </w:rPr>
      </w:pPr>
      <w:r>
        <w:rPr>
          <w:b/>
          <w:bCs/>
          <w:i/>
          <w:iCs/>
        </w:rPr>
        <w:t>Richiedetelo all’editore:</w:t>
      </w:r>
    </w:p>
    <w:p w14:paraId="7022B651" w14:textId="70E4877B" w:rsidR="00A63A09" w:rsidRDefault="00A63A09" w:rsidP="00A63A09">
      <w:pPr>
        <w:rPr>
          <w:b/>
          <w:bCs/>
          <w:i/>
          <w:iCs/>
        </w:rPr>
      </w:pPr>
      <w:hyperlink r:id="rId14" w:history="1">
        <w:r w:rsidRPr="00A10C5D">
          <w:rPr>
            <w:rStyle w:val="Collegamentoipertestuale"/>
            <w:b/>
            <w:bCs/>
            <w:i/>
            <w:iCs/>
          </w:rPr>
          <w:t>info@ibneditore.it</w:t>
        </w:r>
      </w:hyperlink>
    </w:p>
    <w:p w14:paraId="5E9F601B" w14:textId="38D7C2E8" w:rsidR="00A63A09" w:rsidRPr="00A63A09" w:rsidRDefault="00A63A09" w:rsidP="00A63A09">
      <w:pPr>
        <w:rPr>
          <w:b/>
          <w:bCs/>
          <w:i/>
          <w:iCs/>
        </w:rPr>
      </w:pPr>
      <w:r>
        <w:rPr>
          <w:b/>
          <w:bCs/>
          <w:i/>
          <w:iCs/>
        </w:rPr>
        <w:t>o tramite i più noti rivenditori in rete</w:t>
      </w:r>
      <w:r w:rsidR="00515288">
        <w:rPr>
          <w:b/>
          <w:bCs/>
          <w:i/>
          <w:iCs/>
        </w:rPr>
        <w:t>.</w:t>
      </w:r>
    </w:p>
    <w:sectPr w:rsidR="00A63A09" w:rsidRPr="00A63A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pg-1ff9">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2207A"/>
    <w:multiLevelType w:val="hybridMultilevel"/>
    <w:tmpl w:val="8A567418"/>
    <w:lvl w:ilvl="0" w:tplc="1930B9E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1D"/>
    <w:rsid w:val="00075962"/>
    <w:rsid w:val="000761C7"/>
    <w:rsid w:val="000D6925"/>
    <w:rsid w:val="001D7E3D"/>
    <w:rsid w:val="001F4CD9"/>
    <w:rsid w:val="00254CD0"/>
    <w:rsid w:val="00293C74"/>
    <w:rsid w:val="002E5C1C"/>
    <w:rsid w:val="002F272F"/>
    <w:rsid w:val="003256CC"/>
    <w:rsid w:val="00332AE7"/>
    <w:rsid w:val="003B3623"/>
    <w:rsid w:val="00426D5D"/>
    <w:rsid w:val="00515288"/>
    <w:rsid w:val="00530B1D"/>
    <w:rsid w:val="00583587"/>
    <w:rsid w:val="00594E1F"/>
    <w:rsid w:val="005D449F"/>
    <w:rsid w:val="006B7D17"/>
    <w:rsid w:val="006E550A"/>
    <w:rsid w:val="00744FA8"/>
    <w:rsid w:val="007B2722"/>
    <w:rsid w:val="0082064A"/>
    <w:rsid w:val="008338CE"/>
    <w:rsid w:val="00851975"/>
    <w:rsid w:val="0087065A"/>
    <w:rsid w:val="0087708B"/>
    <w:rsid w:val="00940FC3"/>
    <w:rsid w:val="00A1782D"/>
    <w:rsid w:val="00A61C1B"/>
    <w:rsid w:val="00A63A09"/>
    <w:rsid w:val="00A82C5F"/>
    <w:rsid w:val="00AA0E7B"/>
    <w:rsid w:val="00AA587C"/>
    <w:rsid w:val="00AB7987"/>
    <w:rsid w:val="00AD517C"/>
    <w:rsid w:val="00B17743"/>
    <w:rsid w:val="00BE4980"/>
    <w:rsid w:val="00BE4DA4"/>
    <w:rsid w:val="00C41C03"/>
    <w:rsid w:val="00C93D25"/>
    <w:rsid w:val="00CE300D"/>
    <w:rsid w:val="00D334DE"/>
    <w:rsid w:val="00D61108"/>
    <w:rsid w:val="00EC0DB5"/>
    <w:rsid w:val="00ED73ED"/>
    <w:rsid w:val="00EE20B6"/>
    <w:rsid w:val="00EF3119"/>
    <w:rsid w:val="00F96FDF"/>
    <w:rsid w:val="00FC74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661F4"/>
  <w15:chartTrackingRefBased/>
  <w15:docId w15:val="{D2690EEF-317C-49A5-BA73-E7C2AFB7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BE498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272F"/>
    <w:pPr>
      <w:ind w:left="720"/>
      <w:contextualSpacing/>
    </w:pPr>
  </w:style>
  <w:style w:type="character" w:styleId="Collegamentoipertestuale">
    <w:name w:val="Hyperlink"/>
    <w:basedOn w:val="Carpredefinitoparagrafo"/>
    <w:uiPriority w:val="99"/>
    <w:unhideWhenUsed/>
    <w:rsid w:val="00940FC3"/>
    <w:rPr>
      <w:color w:val="0000FF"/>
      <w:u w:val="single"/>
    </w:rPr>
  </w:style>
  <w:style w:type="character" w:customStyle="1" w:styleId="Titolo2Carattere">
    <w:name w:val="Titolo 2 Carattere"/>
    <w:basedOn w:val="Carpredefinitoparagrafo"/>
    <w:link w:val="Titolo2"/>
    <w:uiPriority w:val="9"/>
    <w:rsid w:val="00BE4980"/>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BE498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w-headline">
    <w:name w:val="mw-headline"/>
    <w:basedOn w:val="Carpredefinitoparagrafo"/>
    <w:rsid w:val="00BE4980"/>
  </w:style>
  <w:style w:type="character" w:customStyle="1" w:styleId="mw-editsection">
    <w:name w:val="mw-editsection"/>
    <w:basedOn w:val="Carpredefinitoparagrafo"/>
    <w:rsid w:val="00BE4980"/>
  </w:style>
  <w:style w:type="character" w:customStyle="1" w:styleId="mw-editsection-bracket">
    <w:name w:val="mw-editsection-bracket"/>
    <w:basedOn w:val="Carpredefinitoparagrafo"/>
    <w:rsid w:val="00BE4980"/>
  </w:style>
  <w:style w:type="character" w:customStyle="1" w:styleId="mw-editsection-divider">
    <w:name w:val="mw-editsection-divider"/>
    <w:basedOn w:val="Carpredefinitoparagrafo"/>
    <w:rsid w:val="00BE4980"/>
  </w:style>
  <w:style w:type="character" w:styleId="Enfasigrassetto">
    <w:name w:val="Strong"/>
    <w:basedOn w:val="Carpredefinitoparagrafo"/>
    <w:uiPriority w:val="22"/>
    <w:qFormat/>
    <w:rsid w:val="000D6925"/>
    <w:rPr>
      <w:b/>
      <w:bCs/>
    </w:rPr>
  </w:style>
  <w:style w:type="character" w:styleId="Menzionenonrisolta">
    <w:name w:val="Unresolved Mention"/>
    <w:basedOn w:val="Carpredefinitoparagrafo"/>
    <w:uiPriority w:val="99"/>
    <w:semiHidden/>
    <w:unhideWhenUsed/>
    <w:rsid w:val="00AD5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227586">
      <w:bodyDiv w:val="1"/>
      <w:marLeft w:val="0"/>
      <w:marRight w:val="0"/>
      <w:marTop w:val="0"/>
      <w:marBottom w:val="0"/>
      <w:divBdr>
        <w:top w:val="none" w:sz="0" w:space="0" w:color="auto"/>
        <w:left w:val="none" w:sz="0" w:space="0" w:color="auto"/>
        <w:bottom w:val="none" w:sz="0" w:space="0" w:color="auto"/>
        <w:right w:val="none" w:sz="0" w:space="0" w:color="auto"/>
      </w:divBdr>
    </w:div>
    <w:div w:id="1785885057">
      <w:bodyDiv w:val="1"/>
      <w:marLeft w:val="0"/>
      <w:marRight w:val="0"/>
      <w:marTop w:val="0"/>
      <w:marBottom w:val="0"/>
      <w:divBdr>
        <w:top w:val="none" w:sz="0" w:space="0" w:color="auto"/>
        <w:left w:val="none" w:sz="0" w:space="0" w:color="auto"/>
        <w:bottom w:val="none" w:sz="0" w:space="0" w:color="auto"/>
        <w:right w:val="none" w:sz="0" w:space="0" w:color="auto"/>
      </w:divBdr>
    </w:div>
    <w:div w:id="1948467399">
      <w:bodyDiv w:val="1"/>
      <w:marLeft w:val="0"/>
      <w:marRight w:val="0"/>
      <w:marTop w:val="0"/>
      <w:marBottom w:val="0"/>
      <w:divBdr>
        <w:top w:val="none" w:sz="0" w:space="0" w:color="auto"/>
        <w:left w:val="none" w:sz="0" w:space="0" w:color="auto"/>
        <w:bottom w:val="none" w:sz="0" w:space="0" w:color="auto"/>
        <w:right w:val="none" w:sz="0" w:space="0" w:color="auto"/>
      </w:divBdr>
    </w:div>
    <w:div w:id="205967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hyperlink" Target="https://it.wikipedia.org/wiki/Controllo_del_traffico_aereo"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t.wikipedia.org/wiki/Controllo_del_traffico_aereo" TargetMode="External"/><Relationship Id="rId11" Type="http://schemas.openxmlformats.org/officeDocument/2006/relationships/hyperlink" Target="http://www.aviation-industry-news.co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ec.europa.eu/transport/modes/air/ses_en" TargetMode="External"/><Relationship Id="rId4" Type="http://schemas.openxmlformats.org/officeDocument/2006/relationships/webSettings" Target="webSettings.xml"/><Relationship Id="rId9" Type="http://schemas.openxmlformats.org/officeDocument/2006/relationships/hyperlink" Target="https://www.fasi.biz/it/notizie/strategie/22597-single-european-sky-cielo-unico-europeo.html" TargetMode="External"/><Relationship Id="rId14" Type="http://schemas.openxmlformats.org/officeDocument/2006/relationships/hyperlink" Target="mailto:info@ibnedito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874</TotalTime>
  <Pages>5</Pages>
  <Words>2428</Words>
  <Characters>13845</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33</cp:revision>
  <dcterms:created xsi:type="dcterms:W3CDTF">2021-02-08T09:38:00Z</dcterms:created>
  <dcterms:modified xsi:type="dcterms:W3CDTF">2021-02-13T09:33:00Z</dcterms:modified>
</cp:coreProperties>
</file>