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37872FCB" w14:textId="7B5C909C" w:rsidR="005D77DB" w:rsidRPr="009F57CD" w:rsidRDefault="00BD2590" w:rsidP="0072664A">
      <w:pPr>
        <w:ind w:firstLine="708"/>
        <w:rPr>
          <w:rFonts w:cstheme="minorHAnsi"/>
          <w:sz w:val="20"/>
          <w:szCs w:val="20"/>
        </w:rPr>
      </w:pPr>
      <w:r>
        <w:rPr>
          <w:b/>
          <w:bCs/>
          <w:color w:val="00B0F0"/>
          <w:sz w:val="28"/>
          <w:szCs w:val="28"/>
        </w:rPr>
        <w:t xml:space="preserve">        </w:t>
      </w:r>
    </w:p>
    <w:p w14:paraId="35562301" w14:textId="77777777" w:rsidR="00453F93" w:rsidRPr="00F11EBF" w:rsidRDefault="00453F93" w:rsidP="00453F93">
      <w:pPr>
        <w:ind w:left="1416" w:firstLine="708"/>
        <w:rPr>
          <w:b/>
          <w:bCs/>
          <w:color w:val="009EDE"/>
          <w:sz w:val="28"/>
          <w:szCs w:val="28"/>
        </w:rPr>
      </w:pPr>
      <w:r w:rsidRPr="00F11EBF">
        <w:rPr>
          <w:b/>
          <w:bCs/>
          <w:color w:val="009EDE"/>
          <w:sz w:val="28"/>
          <w:szCs w:val="28"/>
        </w:rPr>
        <w:t>IL CIELO UNIFICATO DI MAASTRICHT</w:t>
      </w:r>
    </w:p>
    <w:p w14:paraId="44899B41" w14:textId="77777777" w:rsidR="00453F93" w:rsidRDefault="00453F93" w:rsidP="00453F93">
      <w:r>
        <w:t xml:space="preserve">Negli anni sessanta in Europa si prospettò l’ipotesi di un unico centro per controllare il traffico aereo. Sei nazioni Belgio, Germania, Francia, Lussemburgo, Olanda e Regno </w:t>
      </w:r>
      <w:proofErr w:type="gramStart"/>
      <w:r>
        <w:t>Unito  avevano</w:t>
      </w:r>
      <w:proofErr w:type="gramEnd"/>
      <w:r>
        <w:t xml:space="preserve"> dato il via ad una convenzione il cui scopo era quello di unificare il traffico aereo negli </w:t>
      </w:r>
      <w:r w:rsidRPr="00F11EBF">
        <w:rPr>
          <w:u w:val="single"/>
        </w:rPr>
        <w:t>spazi superiori</w:t>
      </w:r>
      <w:r>
        <w:t xml:space="preserve"> del variegato firmamento dei centri di controllo (ATC) europei. Il progetto mette in risalto l’ingenuità che regnava in quei primi anni del dopoguerra quando si credeva che </w:t>
      </w:r>
      <w:proofErr w:type="gramStart"/>
      <w:r>
        <w:t>i  singoli</w:t>
      </w:r>
      <w:proofErr w:type="gramEnd"/>
      <w:r>
        <w:t xml:space="preserve"> Paesi fossero disposti a cedere ad un ente esterno, sia pur avente le caratteristiche sovranazionali, il controllo del proprio spazio aereo. Nel 1965 alla Convenzione denominata Eurocontrol, aderì anche </w:t>
      </w:r>
      <w:proofErr w:type="gramStart"/>
      <w:r>
        <w:t>l’Irlanda  e</w:t>
      </w:r>
      <w:proofErr w:type="gramEnd"/>
      <w:r>
        <w:t xml:space="preserve"> successivamente altri Stati </w:t>
      </w:r>
      <w:r w:rsidRPr="00841E2E">
        <w:rPr>
          <w:b/>
          <w:bCs/>
          <w:color w:val="FF0000"/>
          <w:sz w:val="16"/>
          <w:szCs w:val="16"/>
        </w:rPr>
        <w:t>(1)</w:t>
      </w:r>
      <w:r>
        <w:t>.</w:t>
      </w:r>
    </w:p>
    <w:p w14:paraId="6E15E7CC" w14:textId="77777777" w:rsidR="00453F93" w:rsidRDefault="00453F93" w:rsidP="00453F93">
      <w:pPr>
        <w:jc w:val="center"/>
      </w:pPr>
      <w:r w:rsidRPr="00F25DA2">
        <w:rPr>
          <w:noProof/>
          <w:bdr w:val="single" w:sz="12" w:space="0" w:color="auto"/>
        </w:rPr>
        <w:drawing>
          <wp:inline distT="0" distB="0" distL="0" distR="0" wp14:anchorId="2CBA73C2" wp14:editId="60FE3889">
            <wp:extent cx="1688400" cy="2397600"/>
            <wp:effectExtent l="0" t="0" r="7620" b="3175"/>
            <wp:docPr id="7072120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12062" name="Immagine 7072120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8400" cy="2397600"/>
                    </a:xfrm>
                    <a:prstGeom prst="rect">
                      <a:avLst/>
                    </a:prstGeom>
                  </pic:spPr>
                </pic:pic>
              </a:graphicData>
            </a:graphic>
          </wp:inline>
        </w:drawing>
      </w:r>
      <w:r>
        <w:t xml:space="preserve"> </w:t>
      </w:r>
    </w:p>
    <w:p w14:paraId="596A7F7C" w14:textId="77777777" w:rsidR="00453F93" w:rsidRPr="00F11EBF" w:rsidRDefault="00453F93" w:rsidP="00453F93">
      <w:pPr>
        <w:jc w:val="center"/>
        <w:rPr>
          <w:i/>
          <w:iCs/>
          <w:sz w:val="18"/>
          <w:szCs w:val="18"/>
        </w:rPr>
      </w:pPr>
      <w:r w:rsidRPr="00F11EBF">
        <w:rPr>
          <w:i/>
          <w:iCs/>
          <w:sz w:val="18"/>
          <w:szCs w:val="18"/>
        </w:rPr>
        <w:t>In questa piantina</w:t>
      </w:r>
      <w:r>
        <w:rPr>
          <w:i/>
          <w:iCs/>
          <w:sz w:val="18"/>
          <w:szCs w:val="18"/>
        </w:rPr>
        <w:t xml:space="preserve"> gli Stati che inizialmente avrebbero dovuto dare il via al progetto dello spazio aereo unificato</w:t>
      </w:r>
    </w:p>
    <w:p w14:paraId="359EFF84" w14:textId="77B94451" w:rsidR="00453F93" w:rsidRDefault="00453F93" w:rsidP="00453F93">
      <w:r>
        <w:t xml:space="preserve">Il piano si arenò sugli scogli degli interessi nazionali in quanto all’atto pratico nessuna nazione era </w:t>
      </w:r>
      <w:proofErr w:type="gramStart"/>
      <w:r>
        <w:t>disposta  a</w:t>
      </w:r>
      <w:proofErr w:type="gramEnd"/>
      <w:r>
        <w:t xml:space="preserve"> rinunciare alla sovranità del proprio spazio aereo. Eurocontrol però rimase, ed è tuttora in attività, come stanza di compensazione (</w:t>
      </w:r>
      <w:r w:rsidRPr="008C21BD">
        <w:rPr>
          <w:i/>
          <w:iCs/>
        </w:rPr>
        <w:t>clearing house</w:t>
      </w:r>
      <w:r>
        <w:t>) per gli addebiti e la riscossione delle tasse di assistenza al volo nonché di coordinamento e pianificazione dei flussi di traffico aereo.  Nella immagine che segue possiamo vedere gli Stati che oggi ne fanno parte.</w:t>
      </w:r>
    </w:p>
    <w:p w14:paraId="2FBD440B" w14:textId="77777777" w:rsidR="00453F93" w:rsidRDefault="00453F93" w:rsidP="00453F93">
      <w:pPr>
        <w:jc w:val="center"/>
      </w:pPr>
      <w:r w:rsidRPr="008C21BD">
        <w:rPr>
          <w:noProof/>
          <w:bdr w:val="single" w:sz="12" w:space="0" w:color="auto"/>
        </w:rPr>
        <w:drawing>
          <wp:inline distT="0" distB="0" distL="0" distR="0" wp14:anchorId="45257668" wp14:editId="493C57A9">
            <wp:extent cx="4114800" cy="2876400"/>
            <wp:effectExtent l="0" t="0" r="0" b="635"/>
            <wp:docPr id="12940259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5939" name="Immagine 12940259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4800" cy="2876400"/>
                    </a:xfrm>
                    <a:prstGeom prst="rect">
                      <a:avLst/>
                    </a:prstGeom>
                  </pic:spPr>
                </pic:pic>
              </a:graphicData>
            </a:graphic>
          </wp:inline>
        </w:drawing>
      </w:r>
    </w:p>
    <w:p w14:paraId="0AE832B7" w14:textId="77777777" w:rsidR="00453F93" w:rsidRDefault="00453F93" w:rsidP="00453F93">
      <w:r>
        <w:lastRenderedPageBreak/>
        <w:t xml:space="preserve">Nel 1981 la convenzione venne modificata rifocalizzandola sull’obiettivo ATC </w:t>
      </w:r>
      <w:r w:rsidRPr="00F25DA2">
        <w:rPr>
          <w:i/>
          <w:iCs/>
        </w:rPr>
        <w:t>planning research and development.</w:t>
      </w:r>
      <w:r>
        <w:t xml:space="preserve"> </w:t>
      </w:r>
      <w:r w:rsidRPr="00841E2E">
        <w:rPr>
          <w:b/>
          <w:bCs/>
          <w:color w:val="FF0000"/>
          <w:sz w:val="16"/>
          <w:szCs w:val="16"/>
        </w:rPr>
        <w:t>(2)</w:t>
      </w:r>
      <w:r w:rsidRPr="00C46DB9">
        <w:rPr>
          <w:color w:val="FF0000"/>
        </w:rPr>
        <w:t xml:space="preserve">  </w:t>
      </w:r>
      <w:r w:rsidRPr="00F25DA2">
        <w:t xml:space="preserve">La denominazione </w:t>
      </w:r>
      <w:r>
        <w:t xml:space="preserve">di Eurocontrol è associata anche alla “formula di Eurocontrol” ovvero ad una modalità di tariffazione che si rifà appunto ad </w:t>
      </w:r>
      <w:proofErr w:type="gramStart"/>
      <w:r>
        <w:t>un  calcolo</w:t>
      </w:r>
      <w:proofErr w:type="gramEnd"/>
      <w:r>
        <w:t xml:space="preserve"> creato dall’Ente nel tentativo di uniformare l’applicazione delle tasse di sorvolo, ovvero le </w:t>
      </w:r>
      <w:r w:rsidRPr="00F11EBF">
        <w:rPr>
          <w:i/>
          <w:iCs/>
        </w:rPr>
        <w:t>radiofacility charges</w:t>
      </w:r>
      <w:r>
        <w:t xml:space="preserve">. </w:t>
      </w:r>
      <w:r w:rsidRPr="00F11EBF">
        <w:rPr>
          <w:b/>
          <w:bCs/>
          <w:color w:val="C00000"/>
          <w:sz w:val="16"/>
          <w:szCs w:val="16"/>
        </w:rPr>
        <w:t>(3)</w:t>
      </w:r>
    </w:p>
    <w:p w14:paraId="08EE4C5C" w14:textId="77777777" w:rsidR="00453F93" w:rsidRDefault="00453F93" w:rsidP="00453F93">
      <w:r>
        <w:t xml:space="preserve">Ma anche se nessuno ne parla ed anche se pochi ne sono a conoscenza, vi sono quattro Stati il cui spazio aereo </w:t>
      </w:r>
      <w:proofErr w:type="gramStart"/>
      <w:r>
        <w:t>superiore  viene</w:t>
      </w:r>
      <w:proofErr w:type="gramEnd"/>
      <w:r>
        <w:t xml:space="preserve"> tutt’oggi controllato da un </w:t>
      </w:r>
      <w:r w:rsidRPr="00F11EBF">
        <w:rPr>
          <w:b/>
          <w:bCs/>
        </w:rPr>
        <w:t>unico centro</w:t>
      </w:r>
      <w:r>
        <w:t xml:space="preserve"> situato a Maastricht, in Olanda.</w:t>
      </w:r>
    </w:p>
    <w:p w14:paraId="38F4098A" w14:textId="77777777" w:rsidR="00453F93" w:rsidRDefault="00453F93" w:rsidP="00453F93">
      <w:r>
        <w:t>Il Centro di controllo dell'area superiore di Maastricht (MUAC) gestisce lo spazio aereo da 24.500 a 66.000 piedi sopra il Belgio, i Paesi Bassi, il Lussemburgo e la Germania nord-occidentale, una delle aree di spazio aereo più trafficate e complesse d'Europa: oltre 5.500 voli al giorno. Nell’immagine che segue abbiamo la settorizzazione dell’area in questione la quale per i voli oltre il FL 245 vengono unificate sotto un unico Centro di Controllo.</w:t>
      </w:r>
    </w:p>
    <w:p w14:paraId="051EBBBE" w14:textId="77777777" w:rsidR="00453F93" w:rsidRDefault="00453F93" w:rsidP="00453F93">
      <w:r>
        <w:rPr>
          <w:noProof/>
        </w:rPr>
        <w:drawing>
          <wp:inline distT="0" distB="0" distL="0" distR="0" wp14:anchorId="2AFBCD1B" wp14:editId="18F84F11">
            <wp:extent cx="5108400" cy="2901600"/>
            <wp:effectExtent l="0" t="0" r="0" b="0"/>
            <wp:docPr id="17175263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26302" name="Immagine 17175263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8400" cy="2901600"/>
                    </a:xfrm>
                    <a:prstGeom prst="rect">
                      <a:avLst/>
                    </a:prstGeom>
                  </pic:spPr>
                </pic:pic>
              </a:graphicData>
            </a:graphic>
          </wp:inline>
        </w:drawing>
      </w:r>
    </w:p>
    <w:p w14:paraId="07151BE1" w14:textId="77777777" w:rsidR="00453F93" w:rsidRDefault="00453F93" w:rsidP="00453F93">
      <w:r w:rsidRPr="00A46048">
        <w:rPr>
          <w:noProof/>
          <w:bdr w:val="single" w:sz="4" w:space="0" w:color="auto"/>
        </w:rPr>
        <w:drawing>
          <wp:inline distT="0" distB="0" distL="0" distR="0" wp14:anchorId="08FDF2E1" wp14:editId="115B61F4">
            <wp:extent cx="5115600" cy="2019600"/>
            <wp:effectExtent l="0" t="0" r="0" b="0"/>
            <wp:docPr id="17671008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00844" name="Immagine 17671008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5600" cy="2019600"/>
                    </a:xfrm>
                    <a:prstGeom prst="rect">
                      <a:avLst/>
                    </a:prstGeom>
                  </pic:spPr>
                </pic:pic>
              </a:graphicData>
            </a:graphic>
          </wp:inline>
        </w:drawing>
      </w:r>
    </w:p>
    <w:p w14:paraId="4FDB2E86" w14:textId="77777777" w:rsidR="00453F93" w:rsidRDefault="00453F93" w:rsidP="00453F93">
      <w:pPr>
        <w:pStyle w:val="NormaleWeb"/>
        <w:rPr>
          <w:rFonts w:asciiTheme="minorHAnsi" w:hAnsiTheme="minorHAnsi" w:cstheme="minorHAnsi"/>
          <w:sz w:val="22"/>
          <w:szCs w:val="22"/>
        </w:rPr>
      </w:pPr>
      <w:r>
        <w:rPr>
          <w:rFonts w:asciiTheme="minorHAnsi" w:hAnsiTheme="minorHAnsi" w:cstheme="minorHAnsi"/>
          <w:sz w:val="22"/>
          <w:szCs w:val="22"/>
        </w:rPr>
        <w:t xml:space="preserve">E’ per questo motivo che sul sito istituzionale di </w:t>
      </w:r>
      <w:proofErr w:type="gramStart"/>
      <w:r>
        <w:rPr>
          <w:rFonts w:asciiTheme="minorHAnsi" w:hAnsiTheme="minorHAnsi" w:cstheme="minorHAnsi"/>
          <w:sz w:val="22"/>
          <w:szCs w:val="22"/>
        </w:rPr>
        <w:t xml:space="preserve">MUAC  </w:t>
      </w:r>
      <w:r w:rsidRPr="00A46048">
        <w:rPr>
          <w:rFonts w:asciiTheme="minorHAnsi" w:hAnsiTheme="minorHAnsi" w:cstheme="minorHAnsi"/>
          <w:b/>
          <w:bCs/>
          <w:color w:val="ED0000"/>
          <w:sz w:val="16"/>
          <w:szCs w:val="16"/>
        </w:rPr>
        <w:t>(</w:t>
      </w:r>
      <w:proofErr w:type="gramEnd"/>
      <w:r w:rsidRPr="00A46048">
        <w:rPr>
          <w:rFonts w:asciiTheme="minorHAnsi" w:hAnsiTheme="minorHAnsi" w:cstheme="minorHAnsi"/>
          <w:b/>
          <w:bCs/>
          <w:color w:val="ED0000"/>
          <w:sz w:val="16"/>
          <w:szCs w:val="16"/>
        </w:rPr>
        <w:t>4)</w:t>
      </w:r>
      <w:r w:rsidRPr="00A46048">
        <w:rPr>
          <w:rFonts w:asciiTheme="minorHAnsi" w:hAnsiTheme="minorHAnsi" w:cstheme="minorHAnsi"/>
          <w:color w:val="ED0000"/>
          <w:sz w:val="22"/>
          <w:szCs w:val="22"/>
        </w:rPr>
        <w:t xml:space="preserve"> </w:t>
      </w:r>
      <w:r>
        <w:rPr>
          <w:rFonts w:asciiTheme="minorHAnsi" w:hAnsiTheme="minorHAnsi" w:cstheme="minorHAnsi"/>
          <w:sz w:val="22"/>
          <w:szCs w:val="22"/>
        </w:rPr>
        <w:t>si può leggere che  il Centro è</w:t>
      </w:r>
      <w:r w:rsidRPr="00A46048">
        <w:rPr>
          <w:rFonts w:asciiTheme="minorHAnsi" w:hAnsiTheme="minorHAnsi" w:cstheme="minorHAnsi"/>
          <w:sz w:val="22"/>
          <w:szCs w:val="22"/>
        </w:rPr>
        <w:t xml:space="preserve"> </w:t>
      </w:r>
      <w:r w:rsidRPr="00A46048">
        <w:rPr>
          <w:rFonts w:asciiTheme="minorHAnsi" w:hAnsiTheme="minorHAnsi" w:cstheme="minorHAnsi"/>
          <w:i/>
          <w:iCs/>
          <w:sz w:val="22"/>
          <w:szCs w:val="22"/>
        </w:rPr>
        <w:t>l'unico fornitore transfrontaliero di servizi di navigazione aerea civile-militare in Europa e abbiamo svolto un ruolo fondamentale nell'integrazione dello spazio aereo europeo, costruendo i nostri servizi intorno ai flussi di traffico e non ai confini nazionali.</w:t>
      </w:r>
      <w:r w:rsidRPr="00A46048">
        <w:rPr>
          <w:rFonts w:asciiTheme="minorHAnsi" w:hAnsiTheme="minorHAnsi" w:cstheme="minorHAnsi"/>
          <w:sz w:val="22"/>
          <w:szCs w:val="22"/>
        </w:rPr>
        <w:t xml:space="preserve"> </w:t>
      </w:r>
    </w:p>
    <w:p w14:paraId="2694B5D4" w14:textId="77777777" w:rsidR="00453F93" w:rsidRPr="00A46048" w:rsidRDefault="00453F93" w:rsidP="00453F93">
      <w:pPr>
        <w:pStyle w:val="NormaleWeb"/>
        <w:rPr>
          <w:rFonts w:asciiTheme="minorHAnsi" w:hAnsiTheme="minorHAnsi" w:cstheme="minorHAnsi"/>
          <w:sz w:val="22"/>
          <w:szCs w:val="22"/>
        </w:rPr>
      </w:pPr>
      <w:r>
        <w:rPr>
          <w:rFonts w:asciiTheme="minorHAnsi" w:hAnsiTheme="minorHAnsi" w:cstheme="minorHAnsi"/>
          <w:sz w:val="22"/>
          <w:szCs w:val="22"/>
        </w:rPr>
        <w:t>Scendendo in dettaglio il Centro</w:t>
      </w:r>
      <w:r w:rsidRPr="00A46048">
        <w:rPr>
          <w:rFonts w:asciiTheme="minorHAnsi" w:hAnsiTheme="minorHAnsi" w:cstheme="minorHAnsi"/>
          <w:sz w:val="22"/>
          <w:szCs w:val="22"/>
        </w:rPr>
        <w:t xml:space="preserve"> </w:t>
      </w:r>
      <w:r>
        <w:rPr>
          <w:rFonts w:asciiTheme="minorHAnsi" w:hAnsiTheme="minorHAnsi" w:cstheme="minorHAnsi"/>
          <w:sz w:val="22"/>
          <w:szCs w:val="22"/>
        </w:rPr>
        <w:t>f</w:t>
      </w:r>
      <w:r w:rsidRPr="00A46048">
        <w:rPr>
          <w:rFonts w:asciiTheme="minorHAnsi" w:hAnsiTheme="minorHAnsi" w:cstheme="minorHAnsi"/>
          <w:sz w:val="22"/>
          <w:szCs w:val="22"/>
        </w:rPr>
        <w:t xml:space="preserve">ornisce servizi multinazionali di navigazione aerea civile e militare nello </w:t>
      </w:r>
      <w:r w:rsidRPr="00A46048">
        <w:rPr>
          <w:rFonts w:asciiTheme="minorHAnsi" w:hAnsiTheme="minorHAnsi" w:cstheme="minorHAnsi"/>
          <w:b/>
          <w:bCs/>
          <w:sz w:val="22"/>
          <w:szCs w:val="22"/>
        </w:rPr>
        <w:t>spazio aereo superiore</w:t>
      </w:r>
      <w:r w:rsidRPr="00A46048">
        <w:rPr>
          <w:rFonts w:asciiTheme="minorHAnsi" w:hAnsiTheme="minorHAnsi" w:cstheme="minorHAnsi"/>
          <w:sz w:val="22"/>
          <w:szCs w:val="22"/>
        </w:rPr>
        <w:t xml:space="preserve"> di:</w:t>
      </w:r>
    </w:p>
    <w:p w14:paraId="3210561D" w14:textId="77777777" w:rsidR="00453F93" w:rsidRPr="00822110" w:rsidRDefault="00453F93" w:rsidP="00453F93">
      <w:pPr>
        <w:numPr>
          <w:ilvl w:val="0"/>
          <w:numId w:val="5"/>
        </w:numPr>
        <w:spacing w:before="100" w:beforeAutospacing="1" w:after="100" w:afterAutospacing="1" w:line="240" w:lineRule="auto"/>
        <w:rPr>
          <w:rFonts w:eastAsia="Times New Roman" w:cstheme="minorHAnsi"/>
          <w:kern w:val="0"/>
          <w:lang w:eastAsia="it-IT"/>
          <w14:ligatures w14:val="none"/>
        </w:rPr>
      </w:pPr>
      <w:r w:rsidRPr="00822110">
        <w:rPr>
          <w:rFonts w:eastAsia="Times New Roman" w:cstheme="minorHAnsi"/>
          <w:kern w:val="0"/>
          <w:lang w:eastAsia="it-IT"/>
          <w14:ligatures w14:val="none"/>
        </w:rPr>
        <w:lastRenderedPageBreak/>
        <w:t>Belgio (Regione di informazione superiore di Bruxelles</w:t>
      </w:r>
      <w:proofErr w:type="gramStart"/>
      <w:r w:rsidRPr="00822110">
        <w:rPr>
          <w:rFonts w:eastAsia="Times New Roman" w:cstheme="minorHAnsi"/>
          <w:kern w:val="0"/>
          <w:lang w:eastAsia="it-IT"/>
          <w14:ligatures w14:val="none"/>
        </w:rPr>
        <w:t>)</w:t>
      </w:r>
      <w:r>
        <w:rPr>
          <w:rFonts w:eastAsia="Times New Roman" w:cstheme="minorHAnsi"/>
          <w:kern w:val="0"/>
          <w:lang w:eastAsia="it-IT"/>
          <w14:ligatures w14:val="none"/>
        </w:rPr>
        <w:t xml:space="preserve"> ;</w:t>
      </w:r>
      <w:proofErr w:type="gramEnd"/>
    </w:p>
    <w:p w14:paraId="37C4770B" w14:textId="77777777" w:rsidR="00453F93" w:rsidRPr="00822110" w:rsidRDefault="00453F93" w:rsidP="00453F93">
      <w:pPr>
        <w:numPr>
          <w:ilvl w:val="0"/>
          <w:numId w:val="5"/>
        </w:numPr>
        <w:spacing w:before="100" w:beforeAutospacing="1" w:after="100" w:afterAutospacing="1" w:line="240" w:lineRule="auto"/>
        <w:rPr>
          <w:rFonts w:eastAsia="Times New Roman" w:cstheme="minorHAnsi"/>
          <w:kern w:val="0"/>
          <w:lang w:eastAsia="it-IT"/>
          <w14:ligatures w14:val="none"/>
        </w:rPr>
      </w:pPr>
      <w:r w:rsidRPr="00822110">
        <w:rPr>
          <w:rFonts w:eastAsia="Times New Roman" w:cstheme="minorHAnsi"/>
          <w:kern w:val="0"/>
          <w:lang w:eastAsia="it-IT"/>
          <w14:ligatures w14:val="none"/>
        </w:rPr>
        <w:t>Lussemburgo (Regione di informazione superiore di Bruxelles</w:t>
      </w:r>
      <w:proofErr w:type="gramStart"/>
      <w:r w:rsidRPr="00822110">
        <w:rPr>
          <w:rFonts w:eastAsia="Times New Roman" w:cstheme="minorHAnsi"/>
          <w:kern w:val="0"/>
          <w:lang w:eastAsia="it-IT"/>
          <w14:ligatures w14:val="none"/>
        </w:rPr>
        <w:t>)</w:t>
      </w:r>
      <w:r>
        <w:rPr>
          <w:rFonts w:eastAsia="Times New Roman" w:cstheme="minorHAnsi"/>
          <w:kern w:val="0"/>
          <w:lang w:eastAsia="it-IT"/>
          <w14:ligatures w14:val="none"/>
        </w:rPr>
        <w:t xml:space="preserve"> ;</w:t>
      </w:r>
      <w:proofErr w:type="gramEnd"/>
    </w:p>
    <w:p w14:paraId="0717B90A" w14:textId="77777777" w:rsidR="00453F93" w:rsidRPr="00822110" w:rsidRDefault="00453F93" w:rsidP="00453F93">
      <w:pPr>
        <w:numPr>
          <w:ilvl w:val="0"/>
          <w:numId w:val="5"/>
        </w:numPr>
        <w:spacing w:before="100" w:beforeAutospacing="1" w:after="100" w:afterAutospacing="1" w:line="240" w:lineRule="auto"/>
        <w:rPr>
          <w:rFonts w:eastAsia="Times New Roman" w:cstheme="minorHAnsi"/>
          <w:kern w:val="0"/>
          <w:lang w:eastAsia="it-IT"/>
          <w14:ligatures w14:val="none"/>
        </w:rPr>
      </w:pPr>
      <w:r w:rsidRPr="00822110">
        <w:rPr>
          <w:rFonts w:eastAsia="Times New Roman" w:cstheme="minorHAnsi"/>
          <w:kern w:val="0"/>
          <w:lang w:eastAsia="it-IT"/>
          <w14:ligatures w14:val="none"/>
        </w:rPr>
        <w:t>Paesi Bassi (Regione di informazione di volo di Amsterdam</w:t>
      </w:r>
      <w:proofErr w:type="gramStart"/>
      <w:r w:rsidRPr="00822110">
        <w:rPr>
          <w:rFonts w:eastAsia="Times New Roman" w:cstheme="minorHAnsi"/>
          <w:kern w:val="0"/>
          <w:lang w:eastAsia="it-IT"/>
          <w14:ligatures w14:val="none"/>
        </w:rPr>
        <w:t xml:space="preserve">) </w:t>
      </w:r>
      <w:r>
        <w:rPr>
          <w:rFonts w:eastAsia="Times New Roman" w:cstheme="minorHAnsi"/>
          <w:kern w:val="0"/>
          <w:lang w:eastAsia="it-IT"/>
          <w14:ligatures w14:val="none"/>
        </w:rPr>
        <w:t>;</w:t>
      </w:r>
      <w:proofErr w:type="gramEnd"/>
    </w:p>
    <w:p w14:paraId="34227885" w14:textId="77777777" w:rsidR="00453F93" w:rsidRDefault="00453F93" w:rsidP="00453F93">
      <w:pPr>
        <w:numPr>
          <w:ilvl w:val="0"/>
          <w:numId w:val="5"/>
        </w:numPr>
        <w:spacing w:before="100" w:beforeAutospacing="1" w:after="100" w:afterAutospacing="1" w:line="240" w:lineRule="auto"/>
        <w:rPr>
          <w:rFonts w:eastAsia="Times New Roman" w:cstheme="minorHAnsi"/>
          <w:kern w:val="0"/>
          <w:lang w:eastAsia="it-IT"/>
          <w14:ligatures w14:val="none"/>
        </w:rPr>
      </w:pPr>
      <w:r w:rsidRPr="00822110">
        <w:rPr>
          <w:rFonts w:eastAsia="Times New Roman" w:cstheme="minorHAnsi"/>
          <w:kern w:val="0"/>
          <w:lang w:eastAsia="it-IT"/>
          <w14:ligatures w14:val="none"/>
        </w:rPr>
        <w:t>il nord-ovest della Germania (Hannover Upper Information Region).</w:t>
      </w:r>
    </w:p>
    <w:p w14:paraId="29764F86" w14:textId="77777777" w:rsidR="00453F93" w:rsidRDefault="00453F93" w:rsidP="00453F93">
      <w:pPr>
        <w:spacing w:before="100" w:beforeAutospacing="1" w:after="100" w:afterAutospacing="1" w:line="240" w:lineRule="auto"/>
        <w:rPr>
          <w:rFonts w:eastAsia="Times New Roman" w:cstheme="minorHAnsi"/>
          <w:kern w:val="0"/>
          <w:lang w:eastAsia="it-IT"/>
          <w14:ligatures w14:val="none"/>
        </w:rPr>
      </w:pPr>
      <w:r>
        <w:rPr>
          <w:rFonts w:eastAsia="Times New Roman" w:cstheme="minorHAnsi"/>
          <w:kern w:val="0"/>
          <w:lang w:eastAsia="it-IT"/>
          <w14:ligatures w14:val="none"/>
        </w:rPr>
        <w:t>Indubbiamente la limitata estensione territoriale di tre dei quattro Stati aderenti ha costituito un incentivo alla coraggiosa iniziativa di un unico Centro di controllo comune, ma crediamo davvero che in una Europa ove ancora oggi si combatte per il controllo di aree e territori, una iniziativa come quella di MUAC, Maastricht Upper Area Control Centre, andasse ricordata.</w:t>
      </w:r>
    </w:p>
    <w:p w14:paraId="3AD58CEA" w14:textId="77777777" w:rsidR="00453F93" w:rsidRPr="00822110" w:rsidRDefault="00453F93" w:rsidP="00453F93">
      <w:pPr>
        <w:spacing w:before="100" w:beforeAutospacing="1" w:after="100" w:afterAutospacing="1" w:line="240" w:lineRule="auto"/>
        <w:rPr>
          <w:rFonts w:eastAsia="Times New Roman" w:cstheme="minorHAnsi"/>
          <w:kern w:val="0"/>
          <w:lang w:eastAsia="it-IT"/>
          <w14:ligatures w14:val="none"/>
        </w:rPr>
      </w:pPr>
    </w:p>
    <w:p w14:paraId="2D8BC08E" w14:textId="77777777" w:rsidR="00453F93" w:rsidRDefault="00453F93" w:rsidP="00453F93">
      <w:pPr>
        <w:spacing w:after="0" w:line="240" w:lineRule="auto"/>
        <w:rPr>
          <w:rFonts w:ascii="Times New Roman" w:eastAsia="Times New Roman" w:hAnsi="Times New Roman" w:cs="Times New Roman"/>
          <w:kern w:val="0"/>
          <w:sz w:val="24"/>
          <w:szCs w:val="24"/>
          <w:lang w:eastAsia="it-IT"/>
          <w14:ligatures w14:val="none"/>
        </w:rPr>
      </w:pPr>
    </w:p>
    <w:p w14:paraId="6566CF5E" w14:textId="77777777" w:rsidR="00453F93" w:rsidRPr="00C46DB9" w:rsidRDefault="00453F93" w:rsidP="00453F93">
      <w:pPr>
        <w:pStyle w:val="Paragrafoelenco"/>
        <w:numPr>
          <w:ilvl w:val="0"/>
          <w:numId w:val="6"/>
        </w:numPr>
        <w:spacing w:after="0" w:line="240" w:lineRule="auto"/>
        <w:rPr>
          <w:rFonts w:eastAsia="Times New Roman" w:cstheme="minorHAnsi"/>
          <w:kern w:val="0"/>
          <w:sz w:val="20"/>
          <w:szCs w:val="20"/>
          <w:lang w:eastAsia="it-IT"/>
          <w14:ligatures w14:val="none"/>
        </w:rPr>
      </w:pPr>
      <w:r w:rsidRPr="00C46DB9">
        <w:rPr>
          <w:rFonts w:eastAsia="Times New Roman" w:cstheme="minorHAnsi"/>
          <w:kern w:val="0"/>
          <w:sz w:val="20"/>
          <w:szCs w:val="20"/>
          <w:lang w:eastAsia="it-IT"/>
          <w14:ligatures w14:val="none"/>
        </w:rPr>
        <w:t>Dopo i sei Stati fondatori riportati nel testo, nel 1965 fu la volta dell’Irlanda, poi nel gennaio 1986 fu la volta del Portogallo, l’Italia ha aderito il primo aprile 1996. Ad oggi gli Stati membri sono in totale 41.</w:t>
      </w:r>
    </w:p>
    <w:p w14:paraId="342E2370" w14:textId="77777777" w:rsidR="00453F93" w:rsidRPr="00F11EBF" w:rsidRDefault="00453F93" w:rsidP="00453F93">
      <w:pPr>
        <w:pStyle w:val="Paragrafoelenco"/>
        <w:numPr>
          <w:ilvl w:val="0"/>
          <w:numId w:val="6"/>
        </w:numPr>
        <w:spacing w:after="0" w:line="240" w:lineRule="auto"/>
        <w:rPr>
          <w:rFonts w:eastAsia="Times New Roman" w:cstheme="minorHAnsi"/>
          <w:kern w:val="0"/>
          <w:sz w:val="20"/>
          <w:szCs w:val="20"/>
          <w:lang w:eastAsia="it-IT"/>
          <w14:ligatures w14:val="none"/>
        </w:rPr>
      </w:pPr>
      <w:r w:rsidRPr="00C46DB9">
        <w:rPr>
          <w:rFonts w:eastAsia="Times New Roman" w:cstheme="minorHAnsi"/>
          <w:kern w:val="0"/>
          <w:sz w:val="20"/>
          <w:szCs w:val="20"/>
          <w:lang w:eastAsia="it-IT"/>
          <w14:ligatures w14:val="none"/>
        </w:rPr>
        <w:t xml:space="preserve"> </w:t>
      </w:r>
      <w:r w:rsidRPr="00C46DB9">
        <w:rPr>
          <w:rFonts w:cstheme="minorHAnsi"/>
          <w:color w:val="202122"/>
          <w:sz w:val="20"/>
          <w:szCs w:val="20"/>
          <w:shd w:val="clear" w:color="auto" w:fill="FFFFFF"/>
        </w:rPr>
        <w:t>EUROCONTROL gestisce il </w:t>
      </w:r>
      <w:r w:rsidRPr="00C46DB9">
        <w:rPr>
          <w:rFonts w:cstheme="minorHAnsi"/>
          <w:i/>
          <w:iCs/>
          <w:color w:val="202122"/>
          <w:sz w:val="20"/>
          <w:szCs w:val="20"/>
          <w:shd w:val="clear" w:color="auto" w:fill="FFFFFF"/>
        </w:rPr>
        <w:t xml:space="preserve">Network Manager Operations </w:t>
      </w:r>
      <w:proofErr w:type="gramStart"/>
      <w:r w:rsidRPr="00C46DB9">
        <w:rPr>
          <w:rFonts w:cstheme="minorHAnsi"/>
          <w:i/>
          <w:iCs/>
          <w:color w:val="202122"/>
          <w:sz w:val="20"/>
          <w:szCs w:val="20"/>
          <w:shd w:val="clear" w:color="auto" w:fill="FFFFFF"/>
        </w:rPr>
        <w:t>Centre</w:t>
      </w:r>
      <w:r w:rsidRPr="00C46DB9">
        <w:rPr>
          <w:rFonts w:cstheme="minorHAnsi"/>
          <w:color w:val="202122"/>
          <w:sz w:val="20"/>
          <w:szCs w:val="20"/>
          <w:shd w:val="clear" w:color="auto" w:fill="FFFFFF"/>
        </w:rPr>
        <w:t>  (</w:t>
      </w:r>
      <w:proofErr w:type="gramEnd"/>
      <w:r w:rsidRPr="00C46DB9">
        <w:rPr>
          <w:rFonts w:cstheme="minorHAnsi"/>
          <w:color w:val="202122"/>
          <w:sz w:val="20"/>
          <w:szCs w:val="20"/>
          <w:shd w:val="clear" w:color="auto" w:fill="FFFFFF"/>
        </w:rPr>
        <w:t>precedentemente denominato </w:t>
      </w:r>
      <w:r w:rsidRPr="00C46DB9">
        <w:rPr>
          <w:rFonts w:cstheme="minorHAnsi"/>
          <w:i/>
          <w:iCs/>
          <w:color w:val="202122"/>
          <w:sz w:val="20"/>
          <w:szCs w:val="20"/>
          <w:shd w:val="clear" w:color="auto" w:fill="FFFFFF"/>
        </w:rPr>
        <w:t>Central Flow Management Unit</w:t>
      </w:r>
      <w:r w:rsidRPr="00C46DB9">
        <w:rPr>
          <w:rFonts w:cstheme="minorHAnsi"/>
          <w:color w:val="202122"/>
          <w:sz w:val="20"/>
          <w:szCs w:val="20"/>
          <w:shd w:val="clear" w:color="auto" w:fill="FFFFFF"/>
        </w:rPr>
        <w:t> (CFMU), una unità finalizzata ad armonizzare i piani di volo che riguardano l'Europa, con lo scopo di minimizzare i ritardi e garantire la sicurezza del traffico aereo.</w:t>
      </w:r>
    </w:p>
    <w:p w14:paraId="691254CE" w14:textId="77777777" w:rsidR="00453F93" w:rsidRPr="00A46048" w:rsidRDefault="00453F93" w:rsidP="00453F93">
      <w:pPr>
        <w:pStyle w:val="Paragrafoelenco"/>
        <w:numPr>
          <w:ilvl w:val="0"/>
          <w:numId w:val="6"/>
        </w:numPr>
        <w:spacing w:after="0" w:line="240" w:lineRule="auto"/>
        <w:rPr>
          <w:rFonts w:eastAsia="Times New Roman" w:cstheme="minorHAnsi"/>
          <w:kern w:val="0"/>
          <w:sz w:val="20"/>
          <w:szCs w:val="20"/>
          <w:lang w:eastAsia="it-IT"/>
          <w14:ligatures w14:val="none"/>
        </w:rPr>
      </w:pPr>
      <w:r>
        <w:rPr>
          <w:rFonts w:cstheme="minorHAnsi"/>
          <w:color w:val="202122"/>
          <w:sz w:val="20"/>
          <w:szCs w:val="20"/>
          <w:shd w:val="clear" w:color="auto" w:fill="FFFFFF"/>
        </w:rPr>
        <w:t>Ogni Stato aderente è libero di applicare la formula di tariffazione autonoma, tuttavia la formula di Eurocontrol è stata adottata da diversi membri aderenti.</w:t>
      </w:r>
    </w:p>
    <w:p w14:paraId="7F4C49DC" w14:textId="77777777" w:rsidR="00453F93" w:rsidRPr="00C46DB9" w:rsidRDefault="00453F93" w:rsidP="00453F93">
      <w:pPr>
        <w:pStyle w:val="Paragrafoelenco"/>
        <w:numPr>
          <w:ilvl w:val="0"/>
          <w:numId w:val="6"/>
        </w:numPr>
        <w:spacing w:after="0" w:line="240" w:lineRule="auto"/>
        <w:rPr>
          <w:rFonts w:eastAsia="Times New Roman" w:cstheme="minorHAnsi"/>
          <w:kern w:val="0"/>
          <w:sz w:val="20"/>
          <w:szCs w:val="20"/>
          <w:lang w:eastAsia="it-IT"/>
          <w14:ligatures w14:val="none"/>
        </w:rPr>
      </w:pPr>
      <w:r w:rsidRPr="00822110">
        <w:rPr>
          <w:rFonts w:eastAsia="Times New Roman" w:cstheme="minorHAnsi"/>
          <w:kern w:val="0"/>
          <w:sz w:val="20"/>
          <w:szCs w:val="20"/>
          <w:lang w:eastAsia="it-IT"/>
          <w14:ligatures w14:val="none"/>
        </w:rPr>
        <w:t>https://www.abisgroup.org/maastricht-upper-area-control-centre</w:t>
      </w:r>
    </w:p>
    <w:p w14:paraId="12363BC7" w14:textId="77777777" w:rsidR="003E1F55" w:rsidRDefault="003E1F55" w:rsidP="0086514D">
      <w:pPr>
        <w:spacing w:line="276" w:lineRule="auto"/>
        <w:rPr>
          <w:rFonts w:cstheme="minorHAnsi"/>
          <w:i/>
          <w:iCs/>
          <w:sz w:val="18"/>
          <w:szCs w:val="18"/>
        </w:rPr>
      </w:pPr>
    </w:p>
    <w:p w14:paraId="27833874" w14:textId="77777777" w:rsidR="003E1F55" w:rsidRDefault="003E1F55" w:rsidP="0086514D">
      <w:pPr>
        <w:spacing w:line="276" w:lineRule="auto"/>
        <w:rPr>
          <w:rFonts w:cstheme="minorHAnsi"/>
          <w:i/>
          <w:iCs/>
          <w:sz w:val="18"/>
          <w:szCs w:val="18"/>
        </w:rPr>
      </w:pPr>
    </w:p>
    <w:p w14:paraId="2E3EC0ED" w14:textId="09923380" w:rsidR="00DA08CC" w:rsidRPr="003F4367" w:rsidRDefault="00B43E43" w:rsidP="0086514D">
      <w:pPr>
        <w:spacing w:line="276" w:lineRule="auto"/>
        <w:rPr>
          <w:rFonts w:cstheme="minorHAnsi"/>
          <w:i/>
          <w:iCs/>
          <w:sz w:val="18"/>
          <w:szCs w:val="18"/>
        </w:rPr>
      </w:pPr>
      <w:r>
        <w:rPr>
          <w:rFonts w:cstheme="minorHAnsi"/>
          <w:i/>
          <w:iCs/>
          <w:sz w:val="18"/>
          <w:szCs w:val="18"/>
        </w:rPr>
        <w:t>1</w:t>
      </w:r>
      <w:r w:rsidR="005D77DB">
        <w:rPr>
          <w:rFonts w:cstheme="minorHAnsi"/>
          <w:i/>
          <w:iCs/>
          <w:sz w:val="18"/>
          <w:szCs w:val="18"/>
        </w:rPr>
        <w:t>2</w:t>
      </w:r>
      <w:r w:rsidR="003F4367" w:rsidRPr="003F4367">
        <w:rPr>
          <w:rFonts w:cstheme="minorHAnsi"/>
          <w:i/>
          <w:iCs/>
          <w:sz w:val="18"/>
          <w:szCs w:val="18"/>
        </w:rPr>
        <w:t>/0</w:t>
      </w:r>
      <w:r w:rsidR="005D77DB">
        <w:rPr>
          <w:rFonts w:cstheme="minorHAnsi"/>
          <w:i/>
          <w:iCs/>
          <w:sz w:val="18"/>
          <w:szCs w:val="18"/>
        </w:rPr>
        <w:t>4</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2F357C1D"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proofErr w:type="gramStart"/>
      <w:r>
        <w:rPr>
          <w:rFonts w:cstheme="minorHAnsi"/>
          <w:i/>
          <w:iCs/>
          <w:sz w:val="20"/>
          <w:szCs w:val="20"/>
        </w:rPr>
        <w:tab/>
      </w:r>
      <w:r w:rsidR="003F4DCC">
        <w:rPr>
          <w:rFonts w:cstheme="minorHAnsi"/>
          <w:i/>
          <w:iCs/>
          <w:sz w:val="20"/>
          <w:szCs w:val="20"/>
        </w:rPr>
        <w:t xml:space="preserve">  </w:t>
      </w:r>
      <w:r>
        <w:rPr>
          <w:rFonts w:cstheme="minorHAnsi"/>
          <w:i/>
          <w:iCs/>
          <w:sz w:val="20"/>
          <w:szCs w:val="20"/>
        </w:rPr>
        <w:t>2</w:t>
      </w:r>
      <w:proofErr w:type="gramEnd"/>
      <w:r>
        <w:rPr>
          <w:rFonts w:cstheme="minorHAnsi"/>
          <w:i/>
          <w:iCs/>
          <w:sz w:val="20"/>
          <w:szCs w:val="20"/>
        </w:rPr>
        <w:t xml:space="preserve">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6FD8E26D" w14:textId="3443C6C0" w:rsidR="0030326F" w:rsidRDefault="00783D82" w:rsidP="006B42CE">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w:t>
      </w:r>
    </w:p>
    <w:p w14:paraId="40E344EA" w14:textId="49C038D7" w:rsidR="003F4DCC" w:rsidRDefault="003F4DCC" w:rsidP="006B42CE">
      <w:pPr>
        <w:spacing w:after="0" w:line="276" w:lineRule="auto"/>
        <w:rPr>
          <w:rFonts w:cstheme="minorHAnsi"/>
          <w:i/>
          <w:iCs/>
          <w:sz w:val="20"/>
          <w:szCs w:val="20"/>
        </w:rPr>
      </w:pPr>
      <w:r>
        <w:rPr>
          <w:rFonts w:cstheme="minorHAnsi"/>
          <w:i/>
          <w:iCs/>
          <w:sz w:val="20"/>
          <w:szCs w:val="20"/>
        </w:rPr>
        <w:t>•Come la IAG ha superato il nodo Brexit</w:t>
      </w:r>
      <w:r>
        <w:rPr>
          <w:rFonts w:cstheme="minorHAnsi"/>
          <w:i/>
          <w:iCs/>
          <w:sz w:val="20"/>
          <w:szCs w:val="20"/>
        </w:rPr>
        <w:tab/>
      </w:r>
      <w:r>
        <w:rPr>
          <w:rFonts w:cstheme="minorHAnsi"/>
          <w:i/>
          <w:iCs/>
          <w:sz w:val="20"/>
          <w:szCs w:val="20"/>
        </w:rPr>
        <w:tab/>
        <w:t xml:space="preserve">   12 marzo</w:t>
      </w:r>
    </w:p>
    <w:p w14:paraId="286F8763" w14:textId="31E71F0E" w:rsidR="007903DD" w:rsidRDefault="007903DD" w:rsidP="006B42CE">
      <w:pPr>
        <w:spacing w:after="0" w:line="276" w:lineRule="auto"/>
        <w:rPr>
          <w:rFonts w:cstheme="minorHAnsi"/>
          <w:i/>
          <w:iCs/>
          <w:sz w:val="20"/>
          <w:szCs w:val="20"/>
        </w:rPr>
      </w:pPr>
      <w:r>
        <w:rPr>
          <w:rFonts w:cstheme="minorHAnsi"/>
          <w:i/>
          <w:iCs/>
          <w:sz w:val="20"/>
          <w:szCs w:val="20"/>
        </w:rPr>
        <w:t>•Egg-surcharge</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sidR="003F4DCC">
        <w:rPr>
          <w:rFonts w:cstheme="minorHAnsi"/>
          <w:i/>
          <w:iCs/>
          <w:sz w:val="20"/>
          <w:szCs w:val="20"/>
        </w:rPr>
        <w:t xml:space="preserve">   </w:t>
      </w:r>
      <w:r>
        <w:rPr>
          <w:rFonts w:cstheme="minorHAnsi"/>
          <w:i/>
          <w:iCs/>
          <w:sz w:val="20"/>
          <w:szCs w:val="20"/>
        </w:rPr>
        <w:t>19 marzo</w:t>
      </w:r>
    </w:p>
    <w:p w14:paraId="0483B547" w14:textId="33EA4333" w:rsidR="00D42626" w:rsidRDefault="00D42626" w:rsidP="00D42626">
      <w:pPr>
        <w:spacing w:after="0" w:line="276" w:lineRule="auto"/>
        <w:rPr>
          <w:rFonts w:cstheme="minorHAnsi"/>
          <w:i/>
          <w:iCs/>
          <w:sz w:val="20"/>
          <w:szCs w:val="20"/>
        </w:rPr>
      </w:pPr>
      <w:r>
        <w:rPr>
          <w:rFonts w:cstheme="minorHAnsi"/>
          <w:i/>
          <w:iCs/>
          <w:sz w:val="20"/>
          <w:szCs w:val="20"/>
        </w:rPr>
        <w:t>•Volare in Europa, oggi</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24 marzo</w:t>
      </w:r>
    </w:p>
    <w:p w14:paraId="5ECE117F" w14:textId="3DD09E6A" w:rsidR="00BD2590" w:rsidRDefault="00BD2590" w:rsidP="00D42626">
      <w:pPr>
        <w:spacing w:after="0" w:line="276" w:lineRule="auto"/>
        <w:rPr>
          <w:rFonts w:cstheme="minorHAnsi"/>
          <w:i/>
          <w:iCs/>
          <w:sz w:val="20"/>
          <w:szCs w:val="20"/>
        </w:rPr>
      </w:pPr>
      <w:r>
        <w:rPr>
          <w:rFonts w:cstheme="minorHAnsi"/>
          <w:i/>
          <w:iCs/>
          <w:sz w:val="20"/>
          <w:szCs w:val="20"/>
        </w:rPr>
        <w:t>•Toh, i risultati di Ita Airways nel 2023</w:t>
      </w:r>
      <w:r>
        <w:rPr>
          <w:rFonts w:cstheme="minorHAnsi"/>
          <w:i/>
          <w:iCs/>
          <w:sz w:val="20"/>
          <w:szCs w:val="20"/>
        </w:rPr>
        <w:tab/>
      </w:r>
      <w:r>
        <w:rPr>
          <w:rFonts w:cstheme="minorHAnsi"/>
          <w:i/>
          <w:iCs/>
          <w:sz w:val="20"/>
          <w:szCs w:val="20"/>
        </w:rPr>
        <w:tab/>
        <w:t xml:space="preserve">   29 marzo</w:t>
      </w:r>
    </w:p>
    <w:p w14:paraId="19D5E0C6" w14:textId="1E18CC51" w:rsidR="0072664A" w:rsidRDefault="0072664A" w:rsidP="00D42626">
      <w:pPr>
        <w:spacing w:after="0" w:line="276" w:lineRule="auto"/>
        <w:rPr>
          <w:rFonts w:cstheme="minorHAnsi"/>
          <w:i/>
          <w:iCs/>
          <w:sz w:val="20"/>
          <w:szCs w:val="20"/>
        </w:rPr>
      </w:pPr>
      <w:r>
        <w:rPr>
          <w:rFonts w:cstheme="minorHAnsi"/>
          <w:i/>
          <w:iCs/>
          <w:sz w:val="20"/>
          <w:szCs w:val="20"/>
        </w:rPr>
        <w:t>•Air Malta chiude, parte “KM Malta Air”</w:t>
      </w:r>
      <w:r>
        <w:rPr>
          <w:rFonts w:cstheme="minorHAnsi"/>
          <w:i/>
          <w:iCs/>
          <w:sz w:val="20"/>
          <w:szCs w:val="20"/>
        </w:rPr>
        <w:tab/>
      </w:r>
      <w:r>
        <w:rPr>
          <w:rFonts w:cstheme="minorHAnsi"/>
          <w:i/>
          <w:iCs/>
          <w:sz w:val="20"/>
          <w:szCs w:val="20"/>
        </w:rPr>
        <w:tab/>
        <w:t xml:space="preserve">    </w:t>
      </w:r>
      <w:r w:rsidR="00761597">
        <w:rPr>
          <w:rFonts w:cstheme="minorHAnsi"/>
          <w:i/>
          <w:iCs/>
          <w:sz w:val="20"/>
          <w:szCs w:val="20"/>
        </w:rPr>
        <w:t xml:space="preserve"> </w:t>
      </w:r>
      <w:r>
        <w:rPr>
          <w:rFonts w:cstheme="minorHAnsi"/>
          <w:i/>
          <w:iCs/>
          <w:sz w:val="20"/>
          <w:szCs w:val="20"/>
        </w:rPr>
        <w:t xml:space="preserve"> 2 aprile</w:t>
      </w:r>
    </w:p>
    <w:p w14:paraId="4915CFEB" w14:textId="039C99BC" w:rsidR="00761597" w:rsidRDefault="00761597" w:rsidP="00D42626">
      <w:pPr>
        <w:spacing w:after="0" w:line="276" w:lineRule="auto"/>
        <w:rPr>
          <w:rFonts w:cstheme="minorHAnsi"/>
          <w:i/>
          <w:iCs/>
          <w:sz w:val="20"/>
          <w:szCs w:val="20"/>
        </w:rPr>
      </w:pPr>
      <w:r>
        <w:rPr>
          <w:rFonts w:cstheme="minorHAnsi"/>
          <w:i/>
          <w:iCs/>
          <w:sz w:val="20"/>
          <w:szCs w:val="20"/>
        </w:rPr>
        <w:t>•</w:t>
      </w:r>
      <w:r w:rsidRPr="00761597">
        <w:rPr>
          <w:rFonts w:cstheme="minorHAnsi"/>
          <w:i/>
          <w:iCs/>
          <w:sz w:val="18"/>
          <w:szCs w:val="18"/>
        </w:rPr>
        <w:t>L’impero di Fraport, non solo l’aeroporto di Francoforte</w:t>
      </w:r>
      <w:r>
        <w:rPr>
          <w:rFonts w:cstheme="minorHAnsi"/>
          <w:i/>
          <w:iCs/>
          <w:sz w:val="20"/>
          <w:szCs w:val="20"/>
        </w:rPr>
        <w:t xml:space="preserve">         4 aprile</w:t>
      </w:r>
    </w:p>
    <w:p w14:paraId="69B8D028" w14:textId="4255A98E" w:rsidR="00AC79AB" w:rsidRPr="00AC79AB" w:rsidRDefault="00AC79AB" w:rsidP="00AC79AB">
      <w:pPr>
        <w:spacing w:after="0" w:line="276" w:lineRule="auto"/>
        <w:rPr>
          <w:rFonts w:cstheme="minorHAnsi"/>
          <w:i/>
          <w:iCs/>
          <w:sz w:val="20"/>
          <w:szCs w:val="20"/>
        </w:rPr>
      </w:pPr>
      <w:r>
        <w:rPr>
          <w:rFonts w:cstheme="minorHAnsi"/>
          <w:i/>
          <w:iCs/>
          <w:sz w:val="20"/>
          <w:szCs w:val="20"/>
        </w:rPr>
        <w:t>•</w:t>
      </w:r>
      <w:r w:rsidRPr="00AC79AB">
        <w:rPr>
          <w:b/>
          <w:bCs/>
          <w:color w:val="009EDE"/>
          <w:sz w:val="28"/>
          <w:szCs w:val="28"/>
        </w:rPr>
        <w:t xml:space="preserve"> </w:t>
      </w:r>
      <w:r w:rsidRPr="00AC79AB">
        <w:rPr>
          <w:rFonts w:cstheme="minorHAnsi"/>
          <w:i/>
          <w:iCs/>
          <w:sz w:val="16"/>
          <w:szCs w:val="16"/>
        </w:rPr>
        <w:t>Aerei nelle compagnie russe, chi deve risarcire il locatore?</w:t>
      </w:r>
      <w:r>
        <w:rPr>
          <w:rFonts w:cstheme="minorHAnsi"/>
          <w:i/>
          <w:iCs/>
          <w:sz w:val="16"/>
          <w:szCs w:val="16"/>
        </w:rPr>
        <w:tab/>
        <w:t xml:space="preserve">      </w:t>
      </w:r>
      <w:r w:rsidRPr="00AC79AB">
        <w:rPr>
          <w:rFonts w:cstheme="minorHAnsi"/>
          <w:i/>
          <w:iCs/>
          <w:sz w:val="20"/>
          <w:szCs w:val="20"/>
        </w:rPr>
        <w:t>11 aprile</w:t>
      </w:r>
    </w:p>
    <w:p w14:paraId="582A03A0" w14:textId="72168DAF" w:rsidR="00AC79AB" w:rsidRDefault="00AC79AB" w:rsidP="00D42626">
      <w:pPr>
        <w:spacing w:after="0" w:line="276" w:lineRule="auto"/>
        <w:rPr>
          <w:rFonts w:cstheme="minorHAnsi"/>
          <w:i/>
          <w:iCs/>
          <w:sz w:val="20"/>
          <w:szCs w:val="20"/>
        </w:rPr>
      </w:pPr>
    </w:p>
    <w:p w14:paraId="162FCB14" w14:textId="77777777" w:rsidR="003F63B1" w:rsidRDefault="003F63B1" w:rsidP="006B42CE">
      <w:pPr>
        <w:spacing w:after="0" w:line="276" w:lineRule="auto"/>
        <w:rPr>
          <w:rFonts w:cstheme="minorHAnsi"/>
          <w:i/>
          <w:iCs/>
          <w:sz w:val="20"/>
          <w:szCs w:val="20"/>
        </w:rPr>
      </w:pPr>
    </w:p>
    <w:p w14:paraId="70EFF230" w14:textId="77777777" w:rsidR="003F63B1" w:rsidRDefault="003F63B1" w:rsidP="006B42CE">
      <w:pPr>
        <w:spacing w:after="0" w:line="276" w:lineRule="auto"/>
        <w:rPr>
          <w:rFonts w:cstheme="minorHAnsi"/>
          <w:i/>
          <w:iCs/>
          <w:sz w:val="20"/>
          <w:szCs w:val="20"/>
        </w:rPr>
      </w:pPr>
    </w:p>
    <w:p w14:paraId="4FDEBF30" w14:textId="77777777" w:rsidR="003F63B1" w:rsidRDefault="003F63B1" w:rsidP="006B42CE">
      <w:pPr>
        <w:spacing w:after="0" w:line="276" w:lineRule="auto"/>
        <w:rPr>
          <w:rFonts w:cstheme="minorHAnsi"/>
          <w:i/>
          <w:iCs/>
          <w:sz w:val="20"/>
          <w:szCs w:val="20"/>
        </w:rPr>
      </w:pPr>
    </w:p>
    <w:p w14:paraId="24CB25B3" w14:textId="77777777" w:rsidR="00BD2590" w:rsidRDefault="00BD2590" w:rsidP="006B42CE">
      <w:pPr>
        <w:spacing w:after="0" w:line="276" w:lineRule="auto"/>
        <w:rPr>
          <w:rFonts w:cstheme="minorHAnsi"/>
          <w:i/>
          <w:iCs/>
          <w:sz w:val="20"/>
          <w:szCs w:val="20"/>
        </w:rPr>
      </w:pPr>
    </w:p>
    <w:p w14:paraId="52D9F760" w14:textId="77777777" w:rsidR="00BD2590" w:rsidRDefault="00BD2590" w:rsidP="006B42CE">
      <w:pPr>
        <w:spacing w:after="0" w:line="276" w:lineRule="auto"/>
        <w:rPr>
          <w:rFonts w:cstheme="minorHAnsi"/>
          <w:i/>
          <w:iCs/>
          <w:sz w:val="20"/>
          <w:szCs w:val="20"/>
        </w:rPr>
      </w:pPr>
    </w:p>
    <w:p w14:paraId="4044FB39" w14:textId="77777777" w:rsidR="00BD2590" w:rsidRDefault="00BD2590"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9">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0"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1" w:history="1">
        <w:r>
          <w:rPr>
            <w:rStyle w:val="Collegamentoipertestuale"/>
            <w:rFonts w:ascii="Bahnschrift SemiCondensed" w:hAnsi="Bahnschrift SemiCondensed"/>
            <w:sz w:val="24"/>
            <w:szCs w:val="24"/>
          </w:rPr>
          <w:t>antonio.bordoni@yahoo.it</w:t>
        </w:r>
      </w:hyperlink>
    </w:p>
    <w:sectPr w:rsidR="0030326F"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71EBF"/>
    <w:multiLevelType w:val="multilevel"/>
    <w:tmpl w:val="6BBA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C0AAD"/>
    <w:multiLevelType w:val="hybridMultilevel"/>
    <w:tmpl w:val="A036D21E"/>
    <w:lvl w:ilvl="0" w:tplc="D370E7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5"/>
  </w:num>
  <w:num w:numId="2" w16cid:durableId="1660575916">
    <w:abstractNumId w:val="4"/>
  </w:num>
  <w:num w:numId="3" w16cid:durableId="2093043110">
    <w:abstractNumId w:val="2"/>
  </w:num>
  <w:num w:numId="4" w16cid:durableId="1316302282">
    <w:abstractNumId w:val="3"/>
  </w:num>
  <w:num w:numId="5" w16cid:durableId="979457188">
    <w:abstractNumId w:val="0"/>
  </w:num>
  <w:num w:numId="6" w16cid:durableId="1348798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3092A"/>
    <w:rsid w:val="0004088F"/>
    <w:rsid w:val="00112646"/>
    <w:rsid w:val="001143CA"/>
    <w:rsid w:val="00126F79"/>
    <w:rsid w:val="0022724A"/>
    <w:rsid w:val="002750C2"/>
    <w:rsid w:val="002E7463"/>
    <w:rsid w:val="0030326F"/>
    <w:rsid w:val="00364EBF"/>
    <w:rsid w:val="003A5644"/>
    <w:rsid w:val="003B3253"/>
    <w:rsid w:val="003D4BCA"/>
    <w:rsid w:val="003E1F55"/>
    <w:rsid w:val="003F4367"/>
    <w:rsid w:val="003F4DCC"/>
    <w:rsid w:val="003F63B1"/>
    <w:rsid w:val="00453F93"/>
    <w:rsid w:val="00456597"/>
    <w:rsid w:val="00490CF2"/>
    <w:rsid w:val="004A1BED"/>
    <w:rsid w:val="004D2A23"/>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42CE"/>
    <w:rsid w:val="006D06AA"/>
    <w:rsid w:val="0072664A"/>
    <w:rsid w:val="00761597"/>
    <w:rsid w:val="00783D82"/>
    <w:rsid w:val="007903DD"/>
    <w:rsid w:val="007934C6"/>
    <w:rsid w:val="008127D6"/>
    <w:rsid w:val="008447A4"/>
    <w:rsid w:val="0086514D"/>
    <w:rsid w:val="00A00D4B"/>
    <w:rsid w:val="00A20CA5"/>
    <w:rsid w:val="00AB7768"/>
    <w:rsid w:val="00AC79AB"/>
    <w:rsid w:val="00AE5C27"/>
    <w:rsid w:val="00B43E43"/>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D26EF2"/>
    <w:rsid w:val="00D42626"/>
    <w:rsid w:val="00D934BA"/>
    <w:rsid w:val="00DA08CC"/>
    <w:rsid w:val="00DC5660"/>
    <w:rsid w:val="00DE45BD"/>
    <w:rsid w:val="00E353F8"/>
    <w:rsid w:val="00E445FF"/>
    <w:rsid w:val="00E547FD"/>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ntonio.bordoni@yahoo.it" TargetMode="External"/><Relationship Id="rId5" Type="http://schemas.openxmlformats.org/officeDocument/2006/relationships/image" Target="media/image1.jpeg"/><Relationship Id="rId10" Type="http://schemas.openxmlformats.org/officeDocument/2006/relationships/hyperlink" Target="mailto:info@ibneditore.it"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1011</Words>
  <Characters>5763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5</cp:revision>
  <dcterms:created xsi:type="dcterms:W3CDTF">2024-04-12T08:00:00Z</dcterms:created>
  <dcterms:modified xsi:type="dcterms:W3CDTF">2024-04-12T08:03:00Z</dcterms:modified>
</cp:coreProperties>
</file>