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Pr="004D02DF" w:rsidRDefault="002427B4" w:rsidP="002427B4">
      <w:pPr>
        <w:rPr>
          <w:b/>
          <w:bCs/>
          <w:i/>
          <w:iCs/>
          <w:color w:val="4472C4" w:themeColor="accent1"/>
          <w:sz w:val="18"/>
          <w:szCs w:val="18"/>
          <w:lang w:val="en-US"/>
        </w:rPr>
      </w:pPr>
      <w:r w:rsidRPr="004D02DF">
        <w:rPr>
          <w:b/>
          <w:bCs/>
          <w:i/>
          <w:iCs/>
          <w:color w:val="4472C4" w:themeColor="accent1"/>
          <w:sz w:val="18"/>
          <w:szCs w:val="18"/>
          <w:lang w:val="en-US"/>
        </w:rPr>
        <w:t>Aviation Industry News</w:t>
      </w:r>
      <w:r w:rsidR="004B15FD" w:rsidRPr="004D02DF">
        <w:rPr>
          <w:b/>
          <w:bCs/>
          <w:i/>
          <w:iCs/>
          <w:color w:val="4472C4" w:themeColor="accent1"/>
          <w:sz w:val="18"/>
          <w:szCs w:val="18"/>
          <w:lang w:val="en-US"/>
        </w:rPr>
        <w:t xml:space="preserve">    </w:t>
      </w:r>
    </w:p>
    <w:p w14:paraId="5FA2C407" w14:textId="1DC32FFC" w:rsidR="00010432" w:rsidRPr="004D02DF" w:rsidRDefault="00AA4524" w:rsidP="00976E63">
      <w:pPr>
        <w:ind w:left="1416" w:firstLine="708"/>
        <w:rPr>
          <w:b/>
          <w:bCs/>
          <w:color w:val="4472C4" w:themeColor="accent1"/>
          <w:sz w:val="28"/>
          <w:szCs w:val="28"/>
          <w:lang w:val="en-US"/>
        </w:rPr>
      </w:pPr>
      <w:r w:rsidRPr="004D02DF">
        <w:rPr>
          <w:b/>
          <w:bCs/>
          <w:color w:val="4472C4" w:themeColor="accent1"/>
          <w:sz w:val="28"/>
          <w:szCs w:val="28"/>
          <w:lang w:val="en-US"/>
        </w:rPr>
        <w:t xml:space="preserve">     </w:t>
      </w:r>
      <w:r w:rsidR="004B15FD" w:rsidRPr="004D02DF">
        <w:rPr>
          <w:b/>
          <w:bCs/>
          <w:color w:val="4472C4" w:themeColor="accent1"/>
          <w:sz w:val="28"/>
          <w:szCs w:val="28"/>
          <w:lang w:val="en-US"/>
        </w:rPr>
        <w:t xml:space="preserve"> </w:t>
      </w:r>
      <w:r w:rsidR="00010432" w:rsidRPr="004D02DF">
        <w:rPr>
          <w:b/>
          <w:bCs/>
          <w:color w:val="4472C4" w:themeColor="accent1"/>
          <w:sz w:val="28"/>
          <w:szCs w:val="28"/>
          <w:lang w:val="en-US"/>
        </w:rPr>
        <w:t>I</w:t>
      </w:r>
      <w:r w:rsidR="000C238E" w:rsidRPr="004D02DF">
        <w:rPr>
          <w:b/>
          <w:bCs/>
          <w:color w:val="4472C4" w:themeColor="accent1"/>
          <w:sz w:val="28"/>
          <w:szCs w:val="28"/>
          <w:lang w:val="en-US"/>
        </w:rPr>
        <w:t xml:space="preserve">L </w:t>
      </w:r>
      <w:r w:rsidR="0098224B" w:rsidRPr="004D02DF">
        <w:rPr>
          <w:b/>
          <w:bCs/>
          <w:color w:val="4472C4" w:themeColor="accent1"/>
          <w:sz w:val="28"/>
          <w:szCs w:val="28"/>
          <w:lang w:val="en-US"/>
        </w:rPr>
        <w:t>LOAD FACTOR</w:t>
      </w:r>
      <w:r w:rsidR="00010432" w:rsidRPr="004D02DF">
        <w:rPr>
          <w:b/>
          <w:bCs/>
          <w:color w:val="4472C4" w:themeColor="accent1"/>
          <w:sz w:val="28"/>
          <w:szCs w:val="28"/>
          <w:lang w:val="en-US"/>
        </w:rPr>
        <w:t xml:space="preserve"> DI ITA AIRWAYS</w:t>
      </w:r>
    </w:p>
    <w:p w14:paraId="02473177" w14:textId="7E2E2B73" w:rsidR="00010432" w:rsidRDefault="00010432">
      <w:r>
        <w:t>Senza infamia e senza lode prosegue il cammino o</w:t>
      </w:r>
      <w:r w:rsidR="004D02DF">
        <w:t>,</w:t>
      </w:r>
      <w:r>
        <w:t xml:space="preserve"> </w:t>
      </w:r>
      <w:r w:rsidR="00C90D97">
        <w:t xml:space="preserve">per </w:t>
      </w:r>
      <w:r>
        <w:t xml:space="preserve">meglio </w:t>
      </w:r>
      <w:r w:rsidR="00C90D97">
        <w:t>precisare</w:t>
      </w:r>
      <w:r>
        <w:t>, la tentata ripresa d</w:t>
      </w:r>
      <w:r w:rsidR="00976E63">
        <w:t>ella nuova Alitalia</w:t>
      </w:r>
      <w:r w:rsidR="00A47B38">
        <w:t>:</w:t>
      </w:r>
      <w:r>
        <w:t xml:space="preserve"> ITA Airways. </w:t>
      </w:r>
      <w:r w:rsidR="00F61F0B">
        <w:t>Secondo quanto aveva pronosticato</w:t>
      </w:r>
      <w:r w:rsidR="00D42B5A" w:rsidRPr="00D42B5A">
        <w:t xml:space="preserve"> </w:t>
      </w:r>
      <w:r w:rsidR="00D42B5A">
        <w:t>Alexandre de Junac, direttore generale della I</w:t>
      </w:r>
      <w:r w:rsidR="004D02DF">
        <w:t>ATA</w:t>
      </w:r>
      <w:r w:rsidR="00D42B5A">
        <w:t>,</w:t>
      </w:r>
      <w:r w:rsidR="00F61F0B">
        <w:t xml:space="preserve"> </w:t>
      </w:r>
      <w:r w:rsidR="00D42B5A">
        <w:t>l</w:t>
      </w:r>
      <w:r>
        <w:t>’anno 2023 sarebbe stato</w:t>
      </w:r>
      <w:r w:rsidR="00D42B5A">
        <w:t xml:space="preserve"> per </w:t>
      </w:r>
      <w:r w:rsidR="00B21B01">
        <w:t>l’industria</w:t>
      </w:r>
      <w:r w:rsidR="00D42B5A">
        <w:t xml:space="preserve"> aerea commerciale</w:t>
      </w:r>
      <w:r>
        <w:t xml:space="preserve"> l</w:t>
      </w:r>
      <w:r w:rsidR="004D02DF">
        <w:t>’</w:t>
      </w:r>
      <w:r>
        <w:t>anno della ripresa e pertanto giunti al</w:t>
      </w:r>
      <w:r w:rsidR="008701A9">
        <w:t xml:space="preserve"> </w:t>
      </w:r>
      <w:r w:rsidR="004D02DF">
        <w:t>s</w:t>
      </w:r>
      <w:r>
        <w:t>econdo semestre, sarebbe il caso di cercare di fare il punto sull</w:t>
      </w:r>
      <w:r w:rsidR="00A555D8">
        <w:t>’andamento</w:t>
      </w:r>
      <w:r>
        <w:t xml:space="preserve"> della neo compagnia italiana.</w:t>
      </w:r>
    </w:p>
    <w:p w14:paraId="5DE72D4B" w14:textId="227FC9F1" w:rsidR="007B63D2" w:rsidRDefault="00961F4A">
      <w:r>
        <w:t>Ma la compagnia</w:t>
      </w:r>
      <w:r w:rsidR="00AE527E">
        <w:t xml:space="preserve"> non è molto generosa nel divulgare dati operativi ed economici.</w:t>
      </w:r>
      <w:r w:rsidR="00FA7668">
        <w:t xml:space="preserve"> </w:t>
      </w:r>
      <w:r>
        <w:t>Giunti all’agosto 2023 dobbiamo pertanto accontentarci di</w:t>
      </w:r>
      <w:r w:rsidR="007B63D2">
        <w:t xml:space="preserve"> quanto riportato nel bilancio di esercizio</w:t>
      </w:r>
      <w:r w:rsidR="00A47B38">
        <w:t xml:space="preserve"> </w:t>
      </w:r>
      <w:r w:rsidR="007B63D2">
        <w:t>chiuso al 31 dicembre del 2022. In questo rapporto pos</w:t>
      </w:r>
      <w:r w:rsidR="00A47B38">
        <w:t>s</w:t>
      </w:r>
      <w:r w:rsidR="007B63D2">
        <w:t xml:space="preserve">iamo trovare </w:t>
      </w:r>
      <w:r w:rsidR="00A47B38">
        <w:t>commenti</w:t>
      </w:r>
      <w:r w:rsidR="007B63D2">
        <w:t xml:space="preserve"> assai esplicativ</w:t>
      </w:r>
      <w:r w:rsidR="00303E59">
        <w:t>i</w:t>
      </w:r>
      <w:r w:rsidR="009D0FD1">
        <w:t xml:space="preserve"> quali:</w:t>
      </w:r>
    </w:p>
    <w:p w14:paraId="5815AF91" w14:textId="3731930E" w:rsidR="00B1252E" w:rsidRDefault="0036041D">
      <w:r>
        <w:rPr>
          <w:i/>
          <w:iCs/>
        </w:rPr>
        <w:t>“</w:t>
      </w:r>
      <w:r w:rsidR="00B1252E" w:rsidRPr="009D0FD1">
        <w:rPr>
          <w:i/>
          <w:iCs/>
        </w:rPr>
        <w:t>ITA Airways ha operato nell</w:t>
      </w:r>
      <w:r w:rsidR="009D0FD1">
        <w:rPr>
          <w:i/>
          <w:iCs/>
        </w:rPr>
        <w:t>’</w:t>
      </w:r>
      <w:r w:rsidR="00B1252E" w:rsidRPr="009D0FD1">
        <w:rPr>
          <w:i/>
          <w:iCs/>
        </w:rPr>
        <w:t>anno circa 97.400 voli di linea e trasportato circa 10,1 milioni di passeggeri (6,2 mln sulla rete nazionale, 3 mln sul</w:t>
      </w:r>
      <w:r w:rsidR="00A47B38">
        <w:rPr>
          <w:i/>
          <w:iCs/>
        </w:rPr>
        <w:t>l</w:t>
      </w:r>
      <w:r w:rsidR="00B1252E" w:rsidRPr="009D0FD1">
        <w:rPr>
          <w:i/>
          <w:iCs/>
        </w:rPr>
        <w:t>a rete internazionale e 0,9 mln su quella intercontinentale), riuscendo così ad intercettare i segnali di ripresa del traffico a partire dagli ultimi mesi del primo semestre e cogliendo positivi risultati grazie anche ad efficaci politiche commerciali.</w:t>
      </w:r>
      <w:r>
        <w:rPr>
          <w:i/>
          <w:iCs/>
        </w:rPr>
        <w:t>”</w:t>
      </w:r>
      <w:r w:rsidR="00250A9F">
        <w:t xml:space="preserve"> </w:t>
      </w:r>
      <w:r w:rsidR="00250A9F" w:rsidRPr="0036041D">
        <w:rPr>
          <w:color w:val="FF0000"/>
          <w:sz w:val="16"/>
          <w:szCs w:val="16"/>
        </w:rPr>
        <w:t>(</w:t>
      </w:r>
      <w:r w:rsidRPr="0036041D">
        <w:rPr>
          <w:color w:val="FF0000"/>
          <w:sz w:val="16"/>
          <w:szCs w:val="16"/>
        </w:rPr>
        <w:t>1</w:t>
      </w:r>
      <w:r w:rsidR="00250A9F" w:rsidRPr="0036041D">
        <w:rPr>
          <w:color w:val="FF0000"/>
          <w:sz w:val="16"/>
          <w:szCs w:val="16"/>
        </w:rPr>
        <w:t>)</w:t>
      </w:r>
      <w:r w:rsidRPr="0036041D">
        <w:rPr>
          <w:color w:val="FF0000"/>
        </w:rPr>
        <w:t xml:space="preserve"> </w:t>
      </w:r>
      <w:r w:rsidR="00250A9F">
        <w:t>;</w:t>
      </w:r>
    </w:p>
    <w:p w14:paraId="56CFCE53" w14:textId="00E3E4E9" w:rsidR="00250A9F" w:rsidRPr="0036041D" w:rsidRDefault="0036041D">
      <w:pPr>
        <w:rPr>
          <w:color w:val="FF0000"/>
          <w:sz w:val="16"/>
          <w:szCs w:val="16"/>
        </w:rPr>
      </w:pPr>
      <w:r>
        <w:rPr>
          <w:i/>
          <w:iCs/>
        </w:rPr>
        <w:t>“</w:t>
      </w:r>
      <w:r w:rsidR="00D5060A" w:rsidRPr="0036041D">
        <w:rPr>
          <w:i/>
          <w:iCs/>
        </w:rPr>
        <w:t xml:space="preserve">Nel complesso, i ricavi totali della società sono stati pari a 1.539 milioni di euro (90mln/ nel 2021, anno di nascita della Società in cui ha operato solamente a partire dal 15 ottobre) di cui 1.272 milioni di euro derivanti dal business del traffico passeggeri, pur scontando </w:t>
      </w:r>
      <w:r w:rsidR="00B21B01" w:rsidRPr="0036041D">
        <w:rPr>
          <w:i/>
          <w:iCs/>
        </w:rPr>
        <w:t>l’impatto</w:t>
      </w:r>
      <w:r w:rsidR="00D5060A" w:rsidRPr="0036041D">
        <w:rPr>
          <w:i/>
          <w:iCs/>
        </w:rPr>
        <w:t xml:space="preserve"> negativo sulla domanda di trasporto aereo derivante </w:t>
      </w:r>
      <w:r w:rsidR="003E1682" w:rsidRPr="0036041D">
        <w:rPr>
          <w:i/>
          <w:iCs/>
        </w:rPr>
        <w:t>dall’ondata</w:t>
      </w:r>
      <w:r w:rsidR="00D5060A" w:rsidRPr="0036041D">
        <w:rPr>
          <w:i/>
          <w:iCs/>
        </w:rPr>
        <w:t xml:space="preserve"> pandemica OMICRON nel primo semestre 2022.</w:t>
      </w:r>
      <w:r>
        <w:rPr>
          <w:i/>
          <w:iCs/>
        </w:rPr>
        <w:t xml:space="preserve">” </w:t>
      </w:r>
      <w:r w:rsidR="00D5060A">
        <w:t xml:space="preserve"> </w:t>
      </w:r>
      <w:r w:rsidR="00D5060A" w:rsidRPr="0036041D">
        <w:rPr>
          <w:color w:val="FF0000"/>
          <w:sz w:val="16"/>
          <w:szCs w:val="16"/>
        </w:rPr>
        <w:t>(</w:t>
      </w:r>
      <w:r w:rsidRPr="0036041D">
        <w:rPr>
          <w:color w:val="FF0000"/>
          <w:sz w:val="16"/>
          <w:szCs w:val="16"/>
        </w:rPr>
        <w:t>2</w:t>
      </w:r>
      <w:r w:rsidR="00D5060A" w:rsidRPr="0036041D">
        <w:rPr>
          <w:color w:val="FF0000"/>
          <w:sz w:val="16"/>
          <w:szCs w:val="16"/>
        </w:rPr>
        <w:t>)</w:t>
      </w:r>
    </w:p>
    <w:p w14:paraId="09E97545" w14:textId="480F0D52" w:rsidR="00020A29" w:rsidRDefault="0036041D">
      <w:r w:rsidRPr="0036041D">
        <w:rPr>
          <w:i/>
          <w:iCs/>
        </w:rPr>
        <w:t>“</w:t>
      </w:r>
      <w:r w:rsidR="00020A29" w:rsidRPr="0036041D">
        <w:rPr>
          <w:i/>
          <w:iCs/>
        </w:rPr>
        <w:t xml:space="preserve">Al 31 dicembre 2022, la Compagnia, ha registrato un risultato operativo negativo pari 589 milioni di euro (inclusivo della svalutazione da impairment test per 85,6 milioni di euro) e un risultato netto in perdita di 486 milioni di euro che, al netto del significativo ed imprevedibile aggravio del costo del carburante unito </w:t>
      </w:r>
      <w:r w:rsidR="003E1682" w:rsidRPr="0036041D">
        <w:rPr>
          <w:i/>
          <w:iCs/>
        </w:rPr>
        <w:t>all’importante</w:t>
      </w:r>
      <w:r w:rsidR="00020A29" w:rsidRPr="0036041D">
        <w:rPr>
          <w:i/>
          <w:iCs/>
        </w:rPr>
        <w:t xml:space="preserve"> deterioramento del tasso di cambio i cui impatti sono stati solo parzialmente tradotti in aumento delle tariffe, grazie ad </w:t>
      </w:r>
      <w:r w:rsidR="003E1682" w:rsidRPr="0036041D">
        <w:rPr>
          <w:i/>
          <w:iCs/>
        </w:rPr>
        <w:t>un’attenta</w:t>
      </w:r>
      <w:r w:rsidR="00020A29" w:rsidRPr="0036041D">
        <w:rPr>
          <w:i/>
          <w:iCs/>
        </w:rPr>
        <w:t xml:space="preserve"> ed oculata gestione operativa e </w:t>
      </w:r>
      <w:r w:rsidR="003E1682" w:rsidRPr="0036041D">
        <w:rPr>
          <w:i/>
          <w:iCs/>
        </w:rPr>
        <w:t>un’estrema</w:t>
      </w:r>
      <w:r w:rsidR="00020A29" w:rsidRPr="0036041D">
        <w:rPr>
          <w:i/>
          <w:iCs/>
        </w:rPr>
        <w:t xml:space="preserve"> attenzione al controllo dei costi, risultano coerenti con la fase di start -up della società in un contesto di mercato debole nei primi mesi dell</w:t>
      </w:r>
      <w:r>
        <w:rPr>
          <w:i/>
          <w:iCs/>
        </w:rPr>
        <w:t>’</w:t>
      </w:r>
      <w:r w:rsidR="00020A29" w:rsidRPr="0036041D">
        <w:rPr>
          <w:i/>
          <w:iCs/>
        </w:rPr>
        <w:t>esercizio.</w:t>
      </w:r>
      <w:r w:rsidRPr="0036041D">
        <w:rPr>
          <w:i/>
          <w:iCs/>
        </w:rPr>
        <w:t>”</w:t>
      </w:r>
      <w:r>
        <w:t xml:space="preserve"> </w:t>
      </w:r>
      <w:r w:rsidR="00020A29">
        <w:t xml:space="preserve"> </w:t>
      </w:r>
      <w:r w:rsidR="00020A29" w:rsidRPr="00F770FB">
        <w:rPr>
          <w:color w:val="FF0000"/>
          <w:sz w:val="16"/>
          <w:szCs w:val="16"/>
        </w:rPr>
        <w:t>(</w:t>
      </w:r>
      <w:r w:rsidR="00F770FB" w:rsidRPr="00F770FB">
        <w:rPr>
          <w:color w:val="FF0000"/>
          <w:sz w:val="16"/>
          <w:szCs w:val="16"/>
        </w:rPr>
        <w:t>3</w:t>
      </w:r>
      <w:r w:rsidR="00C62814" w:rsidRPr="00F770FB">
        <w:rPr>
          <w:color w:val="FF0000"/>
          <w:sz w:val="16"/>
          <w:szCs w:val="16"/>
        </w:rPr>
        <w:t>)</w:t>
      </w:r>
    </w:p>
    <w:p w14:paraId="18641F06" w14:textId="05E7EDE3" w:rsidR="00F23C65" w:rsidRDefault="00F770FB">
      <w:pPr>
        <w:rPr>
          <w:color w:val="FF0000"/>
          <w:sz w:val="16"/>
          <w:szCs w:val="16"/>
        </w:rPr>
      </w:pPr>
      <w:r w:rsidRPr="00F770FB">
        <w:rPr>
          <w:i/>
          <w:iCs/>
        </w:rPr>
        <w:t>“</w:t>
      </w:r>
      <w:r w:rsidR="00F23C65" w:rsidRPr="00F770FB">
        <w:rPr>
          <w:i/>
          <w:iCs/>
        </w:rPr>
        <w:t>Il patrimonio netto si attesta a 524 milioni di euro inclusivo di riserve per 39 milioni non utilizzabili per la copertura di perdite.</w:t>
      </w:r>
      <w:r w:rsidRPr="00F770FB">
        <w:rPr>
          <w:i/>
          <w:iCs/>
        </w:rPr>
        <w:t>”</w:t>
      </w:r>
      <w:r w:rsidR="00F23C65">
        <w:t xml:space="preserve"> </w:t>
      </w:r>
      <w:r w:rsidR="00F23C65" w:rsidRPr="00F770FB">
        <w:rPr>
          <w:color w:val="FF0000"/>
          <w:sz w:val="16"/>
          <w:szCs w:val="16"/>
        </w:rPr>
        <w:t>(</w:t>
      </w:r>
      <w:r w:rsidRPr="00F770FB">
        <w:rPr>
          <w:color w:val="FF0000"/>
          <w:sz w:val="16"/>
          <w:szCs w:val="16"/>
        </w:rPr>
        <w:t>4</w:t>
      </w:r>
      <w:r w:rsidR="00F23C65" w:rsidRPr="00F770FB">
        <w:rPr>
          <w:color w:val="FF0000"/>
          <w:sz w:val="16"/>
          <w:szCs w:val="16"/>
        </w:rPr>
        <w:t>)</w:t>
      </w:r>
    </w:p>
    <w:p w14:paraId="5E6F00BB" w14:textId="5786F49B" w:rsidR="00F770FB" w:rsidRDefault="00F770FB">
      <w:r w:rsidRPr="00F770FB">
        <w:t xml:space="preserve">Ma </w:t>
      </w:r>
      <w:r>
        <w:t>nelle pagine del Bilancio</w:t>
      </w:r>
      <w:r w:rsidR="0076602F">
        <w:t xml:space="preserve"> </w:t>
      </w:r>
      <w:r w:rsidR="0076602F" w:rsidRPr="0076602F">
        <w:rPr>
          <w:color w:val="FF0000"/>
          <w:sz w:val="16"/>
          <w:szCs w:val="16"/>
        </w:rPr>
        <w:t>(5)</w:t>
      </w:r>
      <w:r w:rsidRPr="0076602F">
        <w:rPr>
          <w:color w:val="FF0000"/>
        </w:rPr>
        <w:t xml:space="preserve"> </w:t>
      </w:r>
      <w:r w:rsidR="00A47B38" w:rsidRPr="00032836">
        <w:t>possiamo anche trovare</w:t>
      </w:r>
      <w:r w:rsidR="00B97828">
        <w:t>, oltre alla perdita di esercizio,</w:t>
      </w:r>
      <w:r w:rsidRPr="00032836">
        <w:t xml:space="preserve"> </w:t>
      </w:r>
      <w:r w:rsidRPr="00F770FB">
        <w:t>un numero</w:t>
      </w:r>
      <w:r>
        <w:t xml:space="preserve"> sul quale val la pena soffermarsi: </w:t>
      </w:r>
      <w:r w:rsidR="00D70D97">
        <w:t xml:space="preserve">Il Load </w:t>
      </w:r>
      <w:r w:rsidR="00032836">
        <w:t>F</w:t>
      </w:r>
      <w:r w:rsidR="00D70D97">
        <w:t>actor</w:t>
      </w:r>
      <w:r w:rsidR="00032836">
        <w:t xml:space="preserve"> (LF)</w:t>
      </w:r>
      <w:r w:rsidR="00D70D97">
        <w:t xml:space="preserve"> che viene indicato </w:t>
      </w:r>
      <w:r w:rsidR="00227652">
        <w:t xml:space="preserve">essersi </w:t>
      </w:r>
      <w:r w:rsidR="0076602F">
        <w:t>attesta</w:t>
      </w:r>
      <w:r w:rsidR="00227652">
        <w:t>to</w:t>
      </w:r>
      <w:r w:rsidR="007D6924">
        <w:t xml:space="preserve"> su un valore del</w:t>
      </w:r>
      <w:r w:rsidR="00D70D97">
        <w:t xml:space="preserve"> 73,3%</w:t>
      </w:r>
    </w:p>
    <w:p w14:paraId="07C24017" w14:textId="13BFEB69" w:rsidR="00F70C0B" w:rsidRDefault="00F70C0B" w:rsidP="00F70C0B">
      <w:pPr>
        <w:jc w:val="center"/>
      </w:pPr>
      <w:r w:rsidRPr="00F70C0B">
        <w:rPr>
          <w:noProof/>
          <w:bdr w:val="single" w:sz="18" w:space="0" w:color="auto"/>
        </w:rPr>
        <w:drawing>
          <wp:inline distT="0" distB="0" distL="0" distR="0" wp14:anchorId="44B6DCEE" wp14:editId="0DB3ED56">
            <wp:extent cx="2800800" cy="1490400"/>
            <wp:effectExtent l="0" t="0" r="0" b="0"/>
            <wp:docPr id="1416127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2761" name="Immagine 1416127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0800" cy="1490400"/>
                    </a:xfrm>
                    <a:prstGeom prst="rect">
                      <a:avLst/>
                    </a:prstGeom>
                  </pic:spPr>
                </pic:pic>
              </a:graphicData>
            </a:graphic>
          </wp:inline>
        </w:drawing>
      </w:r>
    </w:p>
    <w:p w14:paraId="6C8A9892" w14:textId="6CD980DC" w:rsidR="007D6924" w:rsidRDefault="00033D62" w:rsidP="00033D62">
      <w:r>
        <w:t>Brevemente spieghiamo cosa si intende con questo fondamentale dell’industria aerea</w:t>
      </w:r>
      <w:r w:rsidR="003C1DC9">
        <w:t>.</w:t>
      </w:r>
      <w:r w:rsidR="00596278">
        <w:t xml:space="preserve"> </w:t>
      </w:r>
      <w:r w:rsidR="003463F7">
        <w:t xml:space="preserve"> </w:t>
      </w:r>
      <w:r w:rsidR="003463F7" w:rsidRPr="003463F7">
        <w:t xml:space="preserve">Il fattore di carico dei passeggeri, o </w:t>
      </w:r>
      <w:r w:rsidR="004D02DF">
        <w:t>L</w:t>
      </w:r>
      <w:r w:rsidR="003463F7" w:rsidRPr="003463F7">
        <w:t xml:space="preserve">oad </w:t>
      </w:r>
      <w:r w:rsidR="004D02DF">
        <w:t>F</w:t>
      </w:r>
      <w:r w:rsidR="003463F7" w:rsidRPr="003463F7">
        <w:t>actor, misura l'utilizzo della capacità dei servizi di trasporto pubblico come le compagnie aeree</w:t>
      </w:r>
      <w:r w:rsidR="00CA0D26">
        <w:t xml:space="preserve"> o</w:t>
      </w:r>
      <w:r w:rsidR="003463F7" w:rsidRPr="003463F7">
        <w:t xml:space="preserve"> le ferrovie passeggeri. Viene generalmente utilizzato per valutare l'efficienza con cui un fornitore di servizi di trasporto riempie i posti a sedere e genera ricavi dalle tariffe.</w:t>
      </w:r>
      <w:r w:rsidR="0075671A">
        <w:t xml:space="preserve"> Dunque per ITA Airways </w:t>
      </w:r>
      <w:r w:rsidR="002031B7">
        <w:t>questo</w:t>
      </w:r>
      <w:r w:rsidR="0075671A">
        <w:t xml:space="preserve"> valore è stato del 73.3%; </w:t>
      </w:r>
      <w:r w:rsidR="00196AD3">
        <w:t>dobbiamo ritenere soddisfacente</w:t>
      </w:r>
      <w:r w:rsidR="00F866D1">
        <w:t xml:space="preserve"> una tale percentuale? Per appurarlo non rimane che controllare </w:t>
      </w:r>
      <w:r w:rsidR="00D619E0">
        <w:t>quale Load Factor hanno registrato le altre compagnie aeree nel 2022</w:t>
      </w:r>
      <w:r w:rsidR="00F866D1">
        <w:t>.</w:t>
      </w:r>
    </w:p>
    <w:p w14:paraId="1581EF64" w14:textId="3BC687CA" w:rsidR="00C06F3B" w:rsidRDefault="00D619E0" w:rsidP="00033D62">
      <w:r>
        <w:lastRenderedPageBreak/>
        <w:t>Partiamo da</w:t>
      </w:r>
      <w:r w:rsidR="00F866D1">
        <w:t>i dati de</w:t>
      </w:r>
      <w:r>
        <w:t>lla</w:t>
      </w:r>
      <w:r w:rsidR="00C06F3B">
        <w:t xml:space="preserve"> Iata</w:t>
      </w:r>
      <w:r w:rsidR="00013118">
        <w:t>.</w:t>
      </w:r>
      <w:r w:rsidR="00825149">
        <w:t xml:space="preserve"> </w:t>
      </w:r>
      <w:r w:rsidR="00825149" w:rsidRPr="00825149">
        <w:rPr>
          <w:color w:val="FF0000"/>
          <w:sz w:val="16"/>
          <w:szCs w:val="16"/>
        </w:rPr>
        <w:t>(6)</w:t>
      </w:r>
    </w:p>
    <w:p w14:paraId="3B3CE559" w14:textId="79B0376A" w:rsidR="001F3837" w:rsidRDefault="001F3837" w:rsidP="00033D62">
      <w:pPr>
        <w:rPr>
          <w:i/>
          <w:iCs/>
        </w:rPr>
      </w:pPr>
      <w:r w:rsidRPr="00013118">
        <w:rPr>
          <w:i/>
          <w:iCs/>
        </w:rPr>
        <w:t xml:space="preserve">“A livello di settore, la domanda di passeggeri è stata soddisfatta dalla capacità di posti offerti nel 2022, in quanto i posti-chilometro disponibili (ASK) sono tornati al 71,9% dei livelli del 2019, </w:t>
      </w:r>
      <w:r w:rsidRPr="00013118">
        <w:rPr>
          <w:b/>
          <w:bCs/>
          <w:i/>
          <w:iCs/>
        </w:rPr>
        <w:t>mantenendo i fattori di carico dei passeggeri a livello di settore al 78,7%.</w:t>
      </w:r>
      <w:r w:rsidRPr="00013118">
        <w:rPr>
          <w:i/>
          <w:iCs/>
        </w:rPr>
        <w:t xml:space="preserve"> I fattori di carico dei passeggeri per il 2022 sono stati inferiori di soli 3,9 punti percentuali (ppt) rispetto ai fattori di carico raggiunti prima della pandemia nel 2019. Osservazioni simili possono essere fatte anche a livello regionale.” </w:t>
      </w:r>
    </w:p>
    <w:p w14:paraId="3E6FB3F4" w14:textId="3C6846D5" w:rsidR="009D0FD1" w:rsidRPr="004D02DF" w:rsidRDefault="00E27147">
      <w:pPr>
        <w:rPr>
          <w:color w:val="FF0000"/>
          <w:sz w:val="16"/>
          <w:szCs w:val="16"/>
          <w:lang w:val="en-US"/>
        </w:rPr>
      </w:pPr>
      <w:r w:rsidRPr="00916AC6">
        <w:t>L’associazione internazionale che comprende circa 300 vettori aerei</w:t>
      </w:r>
      <w:r w:rsidR="00916AC6">
        <w:t xml:space="preserve">, già </w:t>
      </w:r>
      <w:r w:rsidR="0097133F">
        <w:t>ci dice</w:t>
      </w:r>
      <w:r w:rsidR="00916AC6">
        <w:t xml:space="preserve"> che globalmente</w:t>
      </w:r>
      <w:r w:rsidR="001D7046">
        <w:t xml:space="preserve"> </w:t>
      </w:r>
      <w:r w:rsidR="00916AC6">
        <w:t xml:space="preserve">il Load </w:t>
      </w:r>
      <w:r w:rsidR="001D7046">
        <w:t>F</w:t>
      </w:r>
      <w:r w:rsidR="00916AC6">
        <w:t>a</w:t>
      </w:r>
      <w:r w:rsidR="001D7046">
        <w:t>c</w:t>
      </w:r>
      <w:r w:rsidR="00916AC6">
        <w:t>tor</w:t>
      </w:r>
      <w:r w:rsidR="004A6F6A">
        <w:t xml:space="preserve"> medio</w:t>
      </w:r>
      <w:r w:rsidR="00916AC6">
        <w:t xml:space="preserve"> registrato è s</w:t>
      </w:r>
      <w:r w:rsidR="001D7046">
        <w:t>tato superiore a quello di ITA. Ma per una analis</w:t>
      </w:r>
      <w:r w:rsidR="00DF7865">
        <w:t>i</w:t>
      </w:r>
      <w:r w:rsidR="001D7046">
        <w:t xml:space="preserve"> più mirata</w:t>
      </w:r>
      <w:r w:rsidR="00635194">
        <w:t xml:space="preserve"> cerchiamo di scoprire quale è stato il Fattor</w:t>
      </w:r>
      <w:r w:rsidR="00DF7865">
        <w:t>e</w:t>
      </w:r>
      <w:r w:rsidR="00635194">
        <w:t xml:space="preserve"> Carico dei principali vettori europei.</w:t>
      </w:r>
      <w:r w:rsidR="00DF7865">
        <w:t xml:space="preserve"> </w:t>
      </w:r>
      <w:r w:rsidR="00DF7865" w:rsidRPr="004D02DF">
        <w:rPr>
          <w:color w:val="FF0000"/>
          <w:sz w:val="16"/>
          <w:szCs w:val="16"/>
          <w:lang w:val="en-US"/>
        </w:rPr>
        <w:t>(7)</w:t>
      </w:r>
    </w:p>
    <w:p w14:paraId="0F9ABB42" w14:textId="77777777" w:rsidR="00806E2B" w:rsidRPr="004D02DF" w:rsidRDefault="00806E2B">
      <w:pPr>
        <w:rPr>
          <w:lang w:val="en-US"/>
        </w:rPr>
      </w:pPr>
    </w:p>
    <w:p w14:paraId="22B9B23C" w14:textId="42AF4B3B" w:rsidR="007303B4" w:rsidRPr="004D02DF" w:rsidRDefault="007303B4" w:rsidP="00425259">
      <w:pPr>
        <w:spacing w:after="0"/>
        <w:rPr>
          <w:lang w:val="en-US"/>
        </w:rPr>
      </w:pPr>
      <w:r w:rsidRPr="004D02DF">
        <w:rPr>
          <w:lang w:val="en-US"/>
        </w:rPr>
        <w:t>Aegean Airlines</w:t>
      </w:r>
      <w:r w:rsidRPr="004D02DF">
        <w:rPr>
          <w:lang w:val="en-US"/>
        </w:rPr>
        <w:tab/>
      </w:r>
      <w:r w:rsidRPr="004D02DF">
        <w:rPr>
          <w:lang w:val="en-US"/>
        </w:rPr>
        <w:tab/>
      </w:r>
      <w:r w:rsidRPr="004D02DF">
        <w:rPr>
          <w:lang w:val="en-US"/>
        </w:rPr>
        <w:tab/>
        <w:t>79.8%</w:t>
      </w:r>
    </w:p>
    <w:p w14:paraId="51457F69" w14:textId="349A68F8" w:rsidR="00806E2B" w:rsidRPr="004D02DF" w:rsidRDefault="00806E2B" w:rsidP="00425259">
      <w:pPr>
        <w:spacing w:after="0"/>
        <w:rPr>
          <w:lang w:val="en-US"/>
        </w:rPr>
      </w:pPr>
      <w:r w:rsidRPr="004D02DF">
        <w:rPr>
          <w:lang w:val="en-US"/>
        </w:rPr>
        <w:t>Air France/Klm</w:t>
      </w:r>
      <w:r w:rsidRPr="004D02DF">
        <w:rPr>
          <w:lang w:val="en-US"/>
        </w:rPr>
        <w:tab/>
      </w:r>
      <w:r w:rsidRPr="004D02DF">
        <w:rPr>
          <w:lang w:val="en-US"/>
        </w:rPr>
        <w:tab/>
      </w:r>
      <w:r w:rsidR="00170516" w:rsidRPr="004D02DF">
        <w:rPr>
          <w:lang w:val="en-US"/>
        </w:rPr>
        <w:tab/>
      </w:r>
      <w:r w:rsidRPr="004D02DF">
        <w:rPr>
          <w:lang w:val="en-US"/>
        </w:rPr>
        <w:t>8</w:t>
      </w:r>
      <w:r w:rsidR="00425259" w:rsidRPr="004D02DF">
        <w:rPr>
          <w:lang w:val="en-US"/>
        </w:rPr>
        <w:t>4</w:t>
      </w:r>
      <w:r w:rsidRPr="004D02DF">
        <w:rPr>
          <w:lang w:val="en-US"/>
        </w:rPr>
        <w:t>%</w:t>
      </w:r>
    </w:p>
    <w:p w14:paraId="6BE8636B" w14:textId="0D2153BC" w:rsidR="00EB2A7E" w:rsidRPr="004D02DF" w:rsidRDefault="00EB2A7E" w:rsidP="00425259">
      <w:pPr>
        <w:spacing w:after="0"/>
        <w:rPr>
          <w:lang w:val="en-US"/>
        </w:rPr>
      </w:pPr>
      <w:r w:rsidRPr="004D02DF">
        <w:rPr>
          <w:lang w:val="en-US"/>
        </w:rPr>
        <w:t>Easyjet</w:t>
      </w:r>
      <w:r w:rsidRPr="004D02DF">
        <w:rPr>
          <w:lang w:val="en-US"/>
        </w:rPr>
        <w:tab/>
      </w:r>
      <w:r w:rsidRPr="004D02DF">
        <w:rPr>
          <w:lang w:val="en-US"/>
        </w:rPr>
        <w:tab/>
      </w:r>
      <w:r w:rsidRPr="004D02DF">
        <w:rPr>
          <w:lang w:val="en-US"/>
        </w:rPr>
        <w:tab/>
      </w:r>
      <w:r w:rsidRPr="004D02DF">
        <w:rPr>
          <w:lang w:val="en-US"/>
        </w:rPr>
        <w:tab/>
        <w:t>87%</w:t>
      </w:r>
    </w:p>
    <w:p w14:paraId="33EFCC2F" w14:textId="52961BE7" w:rsidR="00425259" w:rsidRPr="004D02DF" w:rsidRDefault="00170516" w:rsidP="00425259">
      <w:pPr>
        <w:spacing w:after="0"/>
        <w:rPr>
          <w:lang w:val="en-US"/>
        </w:rPr>
      </w:pPr>
      <w:r w:rsidRPr="004D02DF">
        <w:rPr>
          <w:lang w:val="en-US"/>
        </w:rPr>
        <w:t>Intern. Airline Group</w:t>
      </w:r>
      <w:r w:rsidR="00EB2A7E" w:rsidRPr="004D02DF">
        <w:rPr>
          <w:lang w:val="en-US"/>
        </w:rPr>
        <w:t xml:space="preserve"> </w:t>
      </w:r>
      <w:r w:rsidRPr="004D02DF">
        <w:rPr>
          <w:lang w:val="en-US"/>
        </w:rPr>
        <w:t>(IAG)</w:t>
      </w:r>
      <w:r w:rsidRPr="004D02DF">
        <w:rPr>
          <w:lang w:val="en-US"/>
        </w:rPr>
        <w:tab/>
        <w:t>82%</w:t>
      </w:r>
    </w:p>
    <w:p w14:paraId="7EC80121" w14:textId="012FEA12" w:rsidR="00170516" w:rsidRPr="004D02DF" w:rsidRDefault="00B86659" w:rsidP="00425259">
      <w:pPr>
        <w:spacing w:after="0"/>
        <w:rPr>
          <w:lang w:val="en-US"/>
        </w:rPr>
      </w:pPr>
      <w:r w:rsidRPr="004D02DF">
        <w:rPr>
          <w:lang w:val="en-US"/>
        </w:rPr>
        <w:t>Lufthansa</w:t>
      </w:r>
      <w:r w:rsidRPr="004D02DF">
        <w:rPr>
          <w:lang w:val="en-US"/>
        </w:rPr>
        <w:tab/>
      </w:r>
      <w:r w:rsidRPr="004D02DF">
        <w:rPr>
          <w:lang w:val="en-US"/>
        </w:rPr>
        <w:tab/>
      </w:r>
      <w:r w:rsidRPr="004D02DF">
        <w:rPr>
          <w:lang w:val="en-US"/>
        </w:rPr>
        <w:tab/>
        <w:t>80%</w:t>
      </w:r>
    </w:p>
    <w:p w14:paraId="1DA8AD70" w14:textId="3D3EF705" w:rsidR="00B86659" w:rsidRPr="004D02DF" w:rsidRDefault="009410E9" w:rsidP="00425259">
      <w:pPr>
        <w:spacing w:after="0"/>
        <w:rPr>
          <w:lang w:val="en-US"/>
        </w:rPr>
      </w:pPr>
      <w:r w:rsidRPr="004D02DF">
        <w:rPr>
          <w:lang w:val="en-US"/>
        </w:rPr>
        <w:t>Norwegian Air Shuttle</w:t>
      </w:r>
      <w:r w:rsidRPr="004D02DF">
        <w:rPr>
          <w:lang w:val="en-US"/>
        </w:rPr>
        <w:tab/>
      </w:r>
      <w:r w:rsidRPr="004D02DF">
        <w:rPr>
          <w:lang w:val="en-US"/>
        </w:rPr>
        <w:tab/>
        <w:t>83%</w:t>
      </w:r>
    </w:p>
    <w:p w14:paraId="4CC6032A" w14:textId="544CDA83" w:rsidR="009410E9" w:rsidRPr="004D02DF" w:rsidRDefault="00516C1A" w:rsidP="00425259">
      <w:pPr>
        <w:spacing w:after="0"/>
        <w:rPr>
          <w:lang w:val="en-US"/>
        </w:rPr>
      </w:pPr>
      <w:r w:rsidRPr="004D02DF">
        <w:rPr>
          <w:lang w:val="en-US"/>
        </w:rPr>
        <w:t>Pegasus</w:t>
      </w:r>
      <w:r w:rsidRPr="004D02DF">
        <w:rPr>
          <w:lang w:val="en-US"/>
        </w:rPr>
        <w:tab/>
      </w:r>
      <w:r w:rsidRPr="004D02DF">
        <w:rPr>
          <w:lang w:val="en-US"/>
        </w:rPr>
        <w:tab/>
      </w:r>
      <w:r w:rsidRPr="004D02DF">
        <w:rPr>
          <w:lang w:val="en-US"/>
        </w:rPr>
        <w:tab/>
        <w:t>84%</w:t>
      </w:r>
    </w:p>
    <w:p w14:paraId="25C1F427" w14:textId="017328AB" w:rsidR="00F426D0" w:rsidRPr="004D02DF" w:rsidRDefault="00AE7206" w:rsidP="00425259">
      <w:pPr>
        <w:spacing w:after="0"/>
        <w:rPr>
          <w:lang w:val="en-US"/>
        </w:rPr>
      </w:pPr>
      <w:r w:rsidRPr="004D02DF">
        <w:rPr>
          <w:lang w:val="en-US"/>
        </w:rPr>
        <w:t>Ryanair</w:t>
      </w:r>
      <w:r w:rsidRPr="004D02DF">
        <w:rPr>
          <w:lang w:val="en-US"/>
        </w:rPr>
        <w:tab/>
      </w:r>
      <w:r w:rsidRPr="004D02DF">
        <w:rPr>
          <w:lang w:val="en-US"/>
        </w:rPr>
        <w:tab/>
      </w:r>
      <w:r w:rsidRPr="004D02DF">
        <w:rPr>
          <w:lang w:val="en-US"/>
        </w:rPr>
        <w:tab/>
      </w:r>
      <w:r w:rsidRPr="004D02DF">
        <w:rPr>
          <w:lang w:val="en-US"/>
        </w:rPr>
        <w:tab/>
        <w:t>82%</w:t>
      </w:r>
    </w:p>
    <w:p w14:paraId="262F46F5" w14:textId="053935E6" w:rsidR="00AE7206" w:rsidRPr="004D02DF" w:rsidRDefault="00AE7206" w:rsidP="00425259">
      <w:pPr>
        <w:spacing w:after="0"/>
        <w:rPr>
          <w:lang w:val="en-US"/>
        </w:rPr>
      </w:pPr>
      <w:r w:rsidRPr="004D02DF">
        <w:rPr>
          <w:lang w:val="en-US"/>
        </w:rPr>
        <w:t>Turkish Airlines</w:t>
      </w:r>
      <w:r w:rsidRPr="004D02DF">
        <w:rPr>
          <w:lang w:val="en-US"/>
        </w:rPr>
        <w:tab/>
      </w:r>
      <w:r w:rsidRPr="004D02DF">
        <w:rPr>
          <w:lang w:val="en-US"/>
        </w:rPr>
        <w:tab/>
      </w:r>
      <w:r w:rsidRPr="004D02DF">
        <w:rPr>
          <w:lang w:val="en-US"/>
        </w:rPr>
        <w:tab/>
        <w:t>81%</w:t>
      </w:r>
    </w:p>
    <w:p w14:paraId="5C87419C" w14:textId="709B6276" w:rsidR="00AE7206" w:rsidRPr="004D02DF" w:rsidRDefault="00342217" w:rsidP="00425259">
      <w:pPr>
        <w:spacing w:after="0"/>
        <w:rPr>
          <w:lang w:val="en-US"/>
        </w:rPr>
      </w:pPr>
      <w:r w:rsidRPr="004D02DF">
        <w:rPr>
          <w:lang w:val="en-US"/>
        </w:rPr>
        <w:t>Wizz Air</w:t>
      </w:r>
      <w:r w:rsidRPr="004D02DF">
        <w:rPr>
          <w:lang w:val="en-US"/>
        </w:rPr>
        <w:tab/>
      </w:r>
      <w:r w:rsidRPr="004D02DF">
        <w:rPr>
          <w:lang w:val="en-US"/>
        </w:rPr>
        <w:tab/>
      </w:r>
      <w:r w:rsidRPr="004D02DF">
        <w:rPr>
          <w:lang w:val="en-US"/>
        </w:rPr>
        <w:tab/>
        <w:t>88%</w:t>
      </w:r>
    </w:p>
    <w:p w14:paraId="1537C031" w14:textId="77777777" w:rsidR="00D868B3" w:rsidRPr="004D02DF" w:rsidRDefault="00D868B3" w:rsidP="00425259">
      <w:pPr>
        <w:spacing w:after="0"/>
        <w:rPr>
          <w:lang w:val="en-US"/>
        </w:rPr>
      </w:pPr>
    </w:p>
    <w:p w14:paraId="0D7F09A7" w14:textId="061901DF" w:rsidR="009B2D4D" w:rsidRDefault="00AE3789" w:rsidP="009B2D4D">
      <w:pPr>
        <w:spacing w:after="0"/>
      </w:pPr>
      <w:r>
        <w:t>Dobbiamo pertanto notare come</w:t>
      </w:r>
      <w:r w:rsidR="00637050">
        <w:t xml:space="preserve"> al di </w:t>
      </w:r>
      <w:r w:rsidR="003E1682">
        <w:t>là</w:t>
      </w:r>
      <w:r w:rsidR="00637050">
        <w:t xml:space="preserve"> dello scarso numero di passeggeri trasportati (10.1 milioni) la ITA Airways</w:t>
      </w:r>
      <w:r w:rsidR="00A86A7A">
        <w:t xml:space="preserve"> ha segnato nell’anno 2022 uno valore di </w:t>
      </w:r>
      <w:r w:rsidR="004D02DF">
        <w:t>L</w:t>
      </w:r>
      <w:r w:rsidR="00A86A7A">
        <w:t xml:space="preserve">oad </w:t>
      </w:r>
      <w:r w:rsidR="004D02DF">
        <w:t>F</w:t>
      </w:r>
      <w:r w:rsidR="00A86A7A">
        <w:t>actor</w:t>
      </w:r>
      <w:r w:rsidR="004B154E">
        <w:t xml:space="preserve"> che si pone al di sotto di quanto </w:t>
      </w:r>
      <w:r w:rsidR="00AF27D3">
        <w:t>ottenu</w:t>
      </w:r>
      <w:r w:rsidR="004B154E">
        <w:t>to dalle consorelle</w:t>
      </w:r>
      <w:r w:rsidR="005439D4">
        <w:t xml:space="preserve"> europee</w:t>
      </w:r>
      <w:r w:rsidR="00A86A7A">
        <w:t>.</w:t>
      </w:r>
      <w:r w:rsidR="00FD7B1C" w:rsidRPr="00FD7B1C">
        <w:t xml:space="preserve"> </w:t>
      </w:r>
      <w:r w:rsidR="00E420B5" w:rsidRPr="00E420B5">
        <w:t>Le compagnie aeree hanno in genere margini di profitto ridotti e devono avere fattori di carico relativamente elevati per rimanere redditizie</w:t>
      </w:r>
      <w:r w:rsidR="00EB68DB">
        <w:t xml:space="preserve"> e ciò è notoriamente difficile </w:t>
      </w:r>
      <w:r w:rsidR="00FD7B1C" w:rsidRPr="00FD7B1C">
        <w:t>a causa degli elevati costi fissi, d</w:t>
      </w:r>
      <w:r w:rsidR="006B4945">
        <w:t>e</w:t>
      </w:r>
      <w:r w:rsidR="001E5880">
        <w:t xml:space="preserve">lla </w:t>
      </w:r>
      <w:r w:rsidR="002E76C5">
        <w:t>legittim</w:t>
      </w:r>
      <w:r w:rsidR="001E5880">
        <w:t>a</w:t>
      </w:r>
      <w:r w:rsidR="002E76C5">
        <w:t xml:space="preserve"> </w:t>
      </w:r>
      <w:r w:rsidR="001E5880">
        <w:t>aspettativa</w:t>
      </w:r>
      <w:r w:rsidR="00FD7B1C" w:rsidRPr="00FD7B1C">
        <w:t xml:space="preserve"> dei passeggeri di trovare i biglietti più economici e dei fattori di stagionalità. </w:t>
      </w:r>
      <w:r w:rsidR="00EF06F6">
        <w:t>Con tali presupposti d</w:t>
      </w:r>
      <w:r w:rsidR="00FD7B1C" w:rsidRPr="00FD7B1C">
        <w:t xml:space="preserve">eterminare se una specifica compagnia aerea sia un buon investimento può essere complicato, ma </w:t>
      </w:r>
      <w:r w:rsidR="00E22C78">
        <w:t>indubbiamente il fattore di carico</w:t>
      </w:r>
      <w:r w:rsidR="00C67166">
        <w:t xml:space="preserve"> aiuta l’eventuale investitore. </w:t>
      </w:r>
      <w:r w:rsidR="009B2D4D">
        <w:t>Un fattore di carico elevato indica che una compagnia aerea ha aerei pieni, con la maggior parte dei posti occupati dai passeggeri</w:t>
      </w:r>
      <w:r w:rsidR="00EF06F6">
        <w:t>, se</w:t>
      </w:r>
      <w:r w:rsidR="009B2D4D">
        <w:t xml:space="preserve"> </w:t>
      </w:r>
    </w:p>
    <w:p w14:paraId="7C36B815" w14:textId="20A3866A" w:rsidR="00D868B3" w:rsidRDefault="009B2D4D" w:rsidP="009B2D4D">
      <w:pPr>
        <w:spacing w:after="0"/>
      </w:pPr>
      <w:r>
        <w:t xml:space="preserve">solo la metà dei posti su un volo è occupata, la compagnia aerea non sta generando un reddito pari a quello che potrebbe ottenere volando con un aereo pieno. </w:t>
      </w:r>
      <w:r w:rsidR="00EF06F6">
        <w:t>In poche parole u</w:t>
      </w:r>
      <w:r>
        <w:t xml:space="preserve">n fattore di carico basso può essere motivo di preoccupazione e può indicare una compagnia aerea </w:t>
      </w:r>
      <w:r w:rsidR="00711302">
        <w:t>scarsamente</w:t>
      </w:r>
      <w:r>
        <w:t xml:space="preserve"> redditizia</w:t>
      </w:r>
      <w:r w:rsidR="006B4945">
        <w:t>; d</w:t>
      </w:r>
      <w:r w:rsidR="00EF06F6">
        <w:t>’altra parte o</w:t>
      </w:r>
      <w:r w:rsidR="000A0400">
        <w:t xml:space="preserve">gni rotta ha un suo </w:t>
      </w:r>
      <w:r w:rsidR="000A0400" w:rsidRPr="00EF06F6">
        <w:rPr>
          <w:i/>
          <w:iCs/>
        </w:rPr>
        <w:t>break-eve</w:t>
      </w:r>
      <w:r w:rsidR="00496635" w:rsidRPr="00EF06F6">
        <w:rPr>
          <w:i/>
          <w:iCs/>
        </w:rPr>
        <w:t xml:space="preserve">n </w:t>
      </w:r>
      <w:r w:rsidR="00496635">
        <w:t>ed è praticamente il raggiungimento di tale fattore che fa un profitto al posto di una perdita di esercizio.</w:t>
      </w:r>
      <w:r w:rsidR="005D0413" w:rsidRPr="005D0413">
        <w:t xml:space="preserve"> </w:t>
      </w:r>
      <w:r w:rsidR="00A108FF">
        <w:t xml:space="preserve">Superfluo aggiungere </w:t>
      </w:r>
      <w:r w:rsidR="00562A27">
        <w:t>quanto sia importante per una aerolinea individuare i segmenti di traffico sui qu</w:t>
      </w:r>
      <w:r w:rsidR="00BC5DCF">
        <w:t>a</w:t>
      </w:r>
      <w:r w:rsidR="00562A27">
        <w:t xml:space="preserve">li essa può ottenere </w:t>
      </w:r>
      <w:r w:rsidR="00BC5DCF">
        <w:t>un buon coefficiente di carico e decidere di operarvi</w:t>
      </w:r>
      <w:r w:rsidR="00A832DE">
        <w:t>.</w:t>
      </w:r>
    </w:p>
    <w:p w14:paraId="3BFB7B7D" w14:textId="77777777" w:rsidR="00123E50" w:rsidRDefault="00123E50" w:rsidP="009B2D4D">
      <w:pPr>
        <w:spacing w:after="0"/>
      </w:pPr>
    </w:p>
    <w:p w14:paraId="75823009" w14:textId="71F95FB9" w:rsidR="001B2550" w:rsidRPr="00C107B3" w:rsidRDefault="00123E50" w:rsidP="00451408">
      <w:pPr>
        <w:pBdr>
          <w:top w:val="single" w:sz="18" w:space="1" w:color="auto"/>
          <w:left w:val="single" w:sz="18" w:space="4" w:color="auto"/>
          <w:bottom w:val="single" w:sz="18" w:space="1" w:color="auto"/>
          <w:right w:val="single" w:sz="18" w:space="4" w:color="auto"/>
        </w:pBdr>
        <w:spacing w:after="0"/>
        <w:rPr>
          <w:color w:val="FF0000"/>
          <w:sz w:val="16"/>
          <w:szCs w:val="16"/>
        </w:rPr>
      </w:pPr>
      <w:r>
        <w:t>Per calcolare un corretto Load Factor è necessario disporre dell’ASK e del RPK</w:t>
      </w:r>
      <w:r w:rsidR="00763F1E">
        <w:t xml:space="preserve">. </w:t>
      </w:r>
      <w:r w:rsidR="001B2550">
        <w:t>Fa</w:t>
      </w:r>
      <w:r w:rsidR="00763F1E">
        <w:t xml:space="preserve">cendo il rapporto fra </w:t>
      </w:r>
      <w:r w:rsidR="008E385A">
        <w:t>passeggeri-km-svolti</w:t>
      </w:r>
      <w:r w:rsidR="001B2550">
        <w:t xml:space="preserve"> (RPK)</w:t>
      </w:r>
      <w:r w:rsidR="008E385A">
        <w:t xml:space="preserve"> e Passeggeri-km-offerti</w:t>
      </w:r>
      <w:r w:rsidR="001B2550">
        <w:t xml:space="preserve"> (ASK).</w:t>
      </w:r>
      <w:r w:rsidR="00C107B3">
        <w:t xml:space="preserve"> </w:t>
      </w:r>
      <w:r w:rsidR="001B2550">
        <w:t>In questa tabella che vi mostriamo</w:t>
      </w:r>
      <w:r w:rsidR="00EF06F6">
        <w:t>,</w:t>
      </w:r>
      <w:r w:rsidR="001B2550">
        <w:t xml:space="preserve"> il Load</w:t>
      </w:r>
      <w:r w:rsidR="007547A0">
        <w:t xml:space="preserve"> Factor del </w:t>
      </w:r>
      <w:r w:rsidR="00AC3138">
        <w:t>81,8%</w:t>
      </w:r>
      <w:r w:rsidR="00417C0C">
        <w:t xml:space="preserve"> altro non è che il risultato di </w:t>
      </w:r>
      <w:r w:rsidR="00AC3138">
        <w:t>215.749</w:t>
      </w:r>
      <w:r w:rsidR="00417C0C">
        <w:t xml:space="preserve"> rapportato a </w:t>
      </w:r>
      <w:r w:rsidR="00AC3138">
        <w:t>263.592</w:t>
      </w:r>
      <w:r w:rsidR="00417C0C">
        <w:t xml:space="preserve"> </w:t>
      </w:r>
      <w:r w:rsidR="00DF2D4D" w:rsidRPr="00C107B3">
        <w:rPr>
          <w:color w:val="FF0000"/>
          <w:sz w:val="16"/>
          <w:szCs w:val="16"/>
        </w:rPr>
        <w:t>(8)</w:t>
      </w:r>
    </w:p>
    <w:p w14:paraId="44CB931A" w14:textId="77777777" w:rsidR="00665DFF" w:rsidRDefault="00665DFF" w:rsidP="00451408">
      <w:pPr>
        <w:pBdr>
          <w:top w:val="single" w:sz="18" w:space="1" w:color="auto"/>
          <w:left w:val="single" w:sz="18" w:space="4" w:color="auto"/>
          <w:bottom w:val="single" w:sz="18" w:space="1" w:color="auto"/>
          <w:right w:val="single" w:sz="18" w:space="4" w:color="auto"/>
        </w:pBdr>
        <w:spacing w:after="0"/>
      </w:pPr>
    </w:p>
    <w:p w14:paraId="66BCA905" w14:textId="7BA84C58" w:rsidR="00665DFF" w:rsidRDefault="00F54EC7" w:rsidP="00451408">
      <w:pPr>
        <w:pBdr>
          <w:top w:val="single" w:sz="18" w:space="1" w:color="auto"/>
          <w:left w:val="single" w:sz="18" w:space="4" w:color="auto"/>
          <w:bottom w:val="single" w:sz="18" w:space="1" w:color="auto"/>
          <w:right w:val="single" w:sz="18" w:space="4" w:color="auto"/>
        </w:pBdr>
        <w:spacing w:after="0"/>
      </w:pPr>
      <w:r w:rsidRPr="00F54EC7">
        <w:rPr>
          <w:noProof/>
          <w:bdr w:val="single" w:sz="4" w:space="0" w:color="auto"/>
        </w:rPr>
        <w:drawing>
          <wp:inline distT="0" distB="0" distL="0" distR="0" wp14:anchorId="0285C1FC" wp14:editId="418210F0">
            <wp:extent cx="2394000" cy="763200"/>
            <wp:effectExtent l="0" t="0" r="6350" b="0"/>
            <wp:docPr id="15677322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32232" name="Immagine 15677322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4000" cy="763200"/>
                    </a:xfrm>
                    <a:prstGeom prst="rect">
                      <a:avLst/>
                    </a:prstGeom>
                  </pic:spPr>
                </pic:pic>
              </a:graphicData>
            </a:graphic>
          </wp:inline>
        </w:drawing>
      </w:r>
    </w:p>
    <w:p w14:paraId="7FC1C2E3" w14:textId="77777777" w:rsidR="00BB487F" w:rsidRDefault="00BB487F" w:rsidP="00425259">
      <w:pPr>
        <w:spacing w:after="0"/>
      </w:pPr>
    </w:p>
    <w:p w14:paraId="2376913F" w14:textId="77777777" w:rsidR="00451408" w:rsidRDefault="00451408" w:rsidP="00425259">
      <w:pPr>
        <w:spacing w:after="0"/>
      </w:pPr>
    </w:p>
    <w:p w14:paraId="422A0772" w14:textId="4F071ADC" w:rsidR="00BB487F" w:rsidRDefault="003557DD" w:rsidP="00425259">
      <w:pPr>
        <w:spacing w:after="0"/>
      </w:pPr>
      <w:r>
        <w:lastRenderedPageBreak/>
        <w:t>Tornando alla ITA è</w:t>
      </w:r>
      <w:r w:rsidR="00C624AC">
        <w:t xml:space="preserve"> importante rammentare</w:t>
      </w:r>
      <w:r w:rsidR="00447F8E">
        <w:t xml:space="preserve"> l’importanza del piano industriale con cui la compagnia si è presentata sul mercato.</w:t>
      </w:r>
      <w:r w:rsidR="00BB487F">
        <w:t xml:space="preserve"> </w:t>
      </w:r>
      <w:r w:rsidR="002835DB">
        <w:t>Nel</w:t>
      </w:r>
      <w:r w:rsidR="00BB487F">
        <w:t xml:space="preserve"> Piano </w:t>
      </w:r>
      <w:r w:rsidR="00293B0A">
        <w:t xml:space="preserve">2021-2025 </w:t>
      </w:r>
      <w:r w:rsidR="003D1358">
        <w:t>veniva previsto</w:t>
      </w:r>
      <w:r w:rsidR="00BB487F">
        <w:t xml:space="preserve"> </w:t>
      </w:r>
      <w:r w:rsidR="005439D4">
        <w:t xml:space="preserve">per il 2025 </w:t>
      </w:r>
      <w:r w:rsidR="00BB487F">
        <w:t xml:space="preserve">un fatturato che </w:t>
      </w:r>
      <w:r w:rsidR="005439D4">
        <w:t>dovev</w:t>
      </w:r>
      <w:r w:rsidR="000106EF">
        <w:t>a</w:t>
      </w:r>
      <w:r w:rsidR="00BB487F">
        <w:t xml:space="preserve"> raggiunger</w:t>
      </w:r>
      <w:r w:rsidR="000106EF">
        <w:t>e i</w:t>
      </w:r>
      <w:r w:rsidR="00BB487F">
        <w:t xml:space="preserve"> 3.329 milioni di euro, con un risultato economico (EBIT) di 209 milioni di euro </w:t>
      </w:r>
      <w:r w:rsidR="00BB487F" w:rsidRPr="003D1358">
        <w:rPr>
          <w:b/>
          <w:bCs/>
        </w:rPr>
        <w:t>e un pareggio operativo da realizzarsi entro il 3° trimestre del 2023.</w:t>
      </w:r>
      <w:r w:rsidR="009F5359">
        <w:rPr>
          <w:b/>
          <w:bCs/>
        </w:rPr>
        <w:t xml:space="preserve"> </w:t>
      </w:r>
      <w:r w:rsidR="009F5359">
        <w:t xml:space="preserve"> </w:t>
      </w:r>
      <w:r w:rsidR="00A00F6F">
        <w:t>Alitalia era già in forte perdita prima del Covid</w:t>
      </w:r>
      <w:r w:rsidR="005919F0">
        <w:t xml:space="preserve"> e per ITA Airways </w:t>
      </w:r>
      <w:r w:rsidR="00305DF3">
        <w:t>si poneva una missione particolarmente difficile</w:t>
      </w:r>
      <w:r w:rsidR="00270D2F">
        <w:t xml:space="preserve">: </w:t>
      </w:r>
      <w:proofErr w:type="gramStart"/>
      <w:r w:rsidR="00270D2F">
        <w:t>difender</w:t>
      </w:r>
      <w:r w:rsidR="00A57D36">
        <w:t>e</w:t>
      </w:r>
      <w:r w:rsidR="00270D2F">
        <w:t xml:space="preserve"> </w:t>
      </w:r>
      <w:r w:rsidR="005919F0">
        <w:t xml:space="preserve"> network</w:t>
      </w:r>
      <w:proofErr w:type="gramEnd"/>
      <w:r w:rsidR="005919F0">
        <w:t xml:space="preserve"> e mercati</w:t>
      </w:r>
      <w:r w:rsidR="005955F6">
        <w:t xml:space="preserve"> </w:t>
      </w:r>
      <w:r w:rsidR="00270D2F">
        <w:t>pur confrontandosi con le tariffe concor</w:t>
      </w:r>
      <w:r w:rsidR="000F19C3">
        <w:t>r</w:t>
      </w:r>
      <w:r w:rsidR="00270D2F">
        <w:t>enziali</w:t>
      </w:r>
      <w:r w:rsidR="000F19C3">
        <w:t xml:space="preserve"> vendute dai competitors. </w:t>
      </w:r>
      <w:r w:rsidR="00CB22BA">
        <w:t>Tuttavia</w:t>
      </w:r>
      <w:r w:rsidR="00391C28">
        <w:t xml:space="preserve"> operare su un network a tariffe</w:t>
      </w:r>
      <w:r w:rsidR="005955F6">
        <w:t xml:space="preserve"> non remunerativ</w:t>
      </w:r>
      <w:r w:rsidR="00391C28">
        <w:t>e</w:t>
      </w:r>
      <w:r w:rsidR="005955F6">
        <w:t xml:space="preserve"> comporterebbe una rapida erosione del capitale sociale.</w:t>
      </w:r>
      <w:r w:rsidR="00391C28">
        <w:t xml:space="preserve"> </w:t>
      </w:r>
      <w:r w:rsidR="00F54695">
        <w:t>Il 30 settembre prossimo si chiude il terzo trimestre 2023</w:t>
      </w:r>
      <w:r w:rsidR="00FC1574">
        <w:t>,</w:t>
      </w:r>
      <w:r w:rsidR="00975D54">
        <w:t xml:space="preserve"> e sarà interessante vedere se l’obiettivo</w:t>
      </w:r>
      <w:r w:rsidR="00CB22BA">
        <w:t xml:space="preserve"> </w:t>
      </w:r>
      <w:r w:rsidR="00FC1574">
        <w:t>del pareggio operativo</w:t>
      </w:r>
      <w:r w:rsidR="00975D54">
        <w:t xml:space="preserve"> verrà raggiunto.</w:t>
      </w:r>
    </w:p>
    <w:p w14:paraId="23889F39" w14:textId="77777777" w:rsidR="00B459E5" w:rsidRPr="009F5359" w:rsidRDefault="00B459E5" w:rsidP="00425259">
      <w:pPr>
        <w:spacing w:after="0"/>
      </w:pPr>
    </w:p>
    <w:p w14:paraId="5218B262" w14:textId="77777777" w:rsidR="00425259" w:rsidRDefault="00425259" w:rsidP="00425259">
      <w:pPr>
        <w:spacing w:after="0"/>
      </w:pPr>
    </w:p>
    <w:p w14:paraId="5B3092C9" w14:textId="77777777" w:rsidR="009D0FD1" w:rsidRDefault="009D0FD1"/>
    <w:p w14:paraId="4066627D" w14:textId="136616C6" w:rsidR="009D0FD1" w:rsidRPr="00EC76F8" w:rsidRDefault="009D0FD1" w:rsidP="009D0FD1">
      <w:pPr>
        <w:pStyle w:val="Paragrafoelenco"/>
        <w:numPr>
          <w:ilvl w:val="0"/>
          <w:numId w:val="1"/>
        </w:numPr>
        <w:rPr>
          <w:i/>
          <w:iCs/>
          <w:sz w:val="20"/>
          <w:szCs w:val="20"/>
        </w:rPr>
      </w:pPr>
      <w:r w:rsidRPr="0076602F">
        <w:rPr>
          <w:sz w:val="20"/>
          <w:szCs w:val="20"/>
        </w:rPr>
        <w:t>Pagina 6 del</w:t>
      </w:r>
      <w:r w:rsidR="00EC76F8" w:rsidRPr="0076602F">
        <w:rPr>
          <w:sz w:val="20"/>
          <w:szCs w:val="20"/>
        </w:rPr>
        <w:t>la</w:t>
      </w:r>
      <w:r>
        <w:rPr>
          <w:sz w:val="20"/>
          <w:szCs w:val="20"/>
        </w:rPr>
        <w:t xml:space="preserve"> </w:t>
      </w:r>
      <w:r w:rsidR="00EC76F8" w:rsidRPr="00EC76F8">
        <w:rPr>
          <w:i/>
          <w:iCs/>
          <w:sz w:val="20"/>
          <w:szCs w:val="20"/>
        </w:rPr>
        <w:t>Relazione finanziaria annuale e Bilancio di esercizio di ITA Italia Trasporto Aereo S.p.A. al 31 dicembre 2022</w:t>
      </w:r>
    </w:p>
    <w:p w14:paraId="1C61F324" w14:textId="6C3F61BD" w:rsidR="0036041D" w:rsidRDefault="0036041D" w:rsidP="009D0FD1">
      <w:pPr>
        <w:pStyle w:val="Paragrafoelenco"/>
        <w:numPr>
          <w:ilvl w:val="0"/>
          <w:numId w:val="1"/>
        </w:numPr>
        <w:rPr>
          <w:sz w:val="20"/>
          <w:szCs w:val="20"/>
        </w:rPr>
      </w:pPr>
      <w:r>
        <w:rPr>
          <w:sz w:val="20"/>
          <w:szCs w:val="20"/>
        </w:rPr>
        <w:t xml:space="preserve">Pagina 7 del </w:t>
      </w:r>
      <w:r w:rsidR="00EC76F8">
        <w:rPr>
          <w:sz w:val="20"/>
          <w:szCs w:val="20"/>
        </w:rPr>
        <w:t>documento di cui all’1)</w:t>
      </w:r>
    </w:p>
    <w:p w14:paraId="7031A656" w14:textId="3A8732E0" w:rsidR="0036041D" w:rsidRPr="009C6F4B" w:rsidRDefault="00F770FB" w:rsidP="009D0FD1">
      <w:pPr>
        <w:pStyle w:val="Paragrafoelenco"/>
        <w:numPr>
          <w:ilvl w:val="0"/>
          <w:numId w:val="1"/>
        </w:numPr>
        <w:rPr>
          <w:i/>
          <w:iCs/>
          <w:sz w:val="20"/>
          <w:szCs w:val="20"/>
        </w:rPr>
      </w:pPr>
      <w:r w:rsidRPr="009C6F4B">
        <w:rPr>
          <w:i/>
          <w:iCs/>
          <w:sz w:val="20"/>
          <w:szCs w:val="20"/>
        </w:rPr>
        <w:t>Come sopra</w:t>
      </w:r>
    </w:p>
    <w:p w14:paraId="540D1D16" w14:textId="35E0A35E" w:rsidR="007B584A" w:rsidRDefault="007B584A" w:rsidP="007B584A">
      <w:pPr>
        <w:pStyle w:val="Paragrafoelenco"/>
        <w:numPr>
          <w:ilvl w:val="0"/>
          <w:numId w:val="1"/>
        </w:numPr>
        <w:rPr>
          <w:sz w:val="20"/>
          <w:szCs w:val="20"/>
        </w:rPr>
      </w:pPr>
      <w:r>
        <w:rPr>
          <w:sz w:val="20"/>
          <w:szCs w:val="20"/>
        </w:rPr>
        <w:t>Pagina 8 del documento di cui all’1)</w:t>
      </w:r>
    </w:p>
    <w:p w14:paraId="3EFCCE3A" w14:textId="45368C71" w:rsidR="009C6F4B" w:rsidRDefault="0076602F" w:rsidP="009D0FD1">
      <w:pPr>
        <w:pStyle w:val="Paragrafoelenco"/>
        <w:numPr>
          <w:ilvl w:val="0"/>
          <w:numId w:val="1"/>
        </w:numPr>
        <w:rPr>
          <w:sz w:val="20"/>
          <w:szCs w:val="20"/>
        </w:rPr>
      </w:pPr>
      <w:r>
        <w:rPr>
          <w:sz w:val="20"/>
          <w:szCs w:val="20"/>
        </w:rPr>
        <w:t>La tabella da noi pubblicata è ripresa dalla pag. 9 del Rapporto</w:t>
      </w:r>
    </w:p>
    <w:p w14:paraId="2A1C8E4C" w14:textId="65A1FEF5" w:rsidR="00825149" w:rsidRPr="004D02DF" w:rsidRDefault="00F91F38" w:rsidP="009D0FD1">
      <w:pPr>
        <w:pStyle w:val="Paragrafoelenco"/>
        <w:numPr>
          <w:ilvl w:val="0"/>
          <w:numId w:val="1"/>
        </w:numPr>
        <w:rPr>
          <w:sz w:val="20"/>
          <w:szCs w:val="20"/>
          <w:lang w:val="en-US"/>
        </w:rPr>
      </w:pPr>
      <w:r w:rsidRPr="004D02DF">
        <w:rPr>
          <w:sz w:val="20"/>
          <w:szCs w:val="20"/>
          <w:lang w:val="en-US"/>
        </w:rPr>
        <w:t>IATA, Air Passenger Market Analysis, December 2022</w:t>
      </w:r>
    </w:p>
    <w:p w14:paraId="2C183776" w14:textId="77777777" w:rsidR="00543E08" w:rsidRDefault="00AB6B88" w:rsidP="009D0FD1">
      <w:pPr>
        <w:pStyle w:val="Paragrafoelenco"/>
        <w:numPr>
          <w:ilvl w:val="0"/>
          <w:numId w:val="1"/>
        </w:numPr>
        <w:rPr>
          <w:sz w:val="20"/>
          <w:szCs w:val="20"/>
        </w:rPr>
      </w:pPr>
      <w:r>
        <w:rPr>
          <w:sz w:val="20"/>
          <w:szCs w:val="20"/>
        </w:rPr>
        <w:t>Cifre tratte da ATW, edizione luglio</w:t>
      </w:r>
      <w:r w:rsidR="00D4417C">
        <w:rPr>
          <w:sz w:val="20"/>
          <w:szCs w:val="20"/>
        </w:rPr>
        <w:t>/agosto</w:t>
      </w:r>
      <w:r>
        <w:rPr>
          <w:sz w:val="20"/>
          <w:szCs w:val="20"/>
        </w:rPr>
        <w:t xml:space="preserve"> 2023</w:t>
      </w:r>
      <w:r w:rsidR="00911FB8">
        <w:rPr>
          <w:sz w:val="20"/>
          <w:szCs w:val="20"/>
        </w:rPr>
        <w:t xml:space="preserve">. </w:t>
      </w:r>
      <w:proofErr w:type="gramStart"/>
      <w:r w:rsidR="00911FB8">
        <w:rPr>
          <w:sz w:val="20"/>
          <w:szCs w:val="20"/>
        </w:rPr>
        <w:t>E’</w:t>
      </w:r>
      <w:proofErr w:type="gramEnd"/>
      <w:r w:rsidR="00911FB8">
        <w:rPr>
          <w:sz w:val="20"/>
          <w:szCs w:val="20"/>
        </w:rPr>
        <w:t xml:space="preserve"> da notare come la sola compagnia che abbia registrato un load factor inferiore a quello di ITA è stata la SAS la quale però chiude i suoi bilanc</w:t>
      </w:r>
      <w:r w:rsidR="00E051C3">
        <w:rPr>
          <w:sz w:val="20"/>
          <w:szCs w:val="20"/>
        </w:rPr>
        <w:t>i al 31 ottobre. Nell’esercizio finanziario</w:t>
      </w:r>
      <w:r w:rsidR="001616A8">
        <w:rPr>
          <w:sz w:val="20"/>
          <w:szCs w:val="20"/>
        </w:rPr>
        <w:t xml:space="preserve"> 1/11/2021-31/10/2022 la la SAS ha registrato un Load Factor del 70,7%</w:t>
      </w:r>
    </w:p>
    <w:p w14:paraId="7105E754" w14:textId="3E762C1D" w:rsidR="00DF7865" w:rsidRDefault="00AB6B88" w:rsidP="009D0FD1">
      <w:pPr>
        <w:pStyle w:val="Paragrafoelenco"/>
        <w:numPr>
          <w:ilvl w:val="0"/>
          <w:numId w:val="1"/>
        </w:numPr>
        <w:rPr>
          <w:sz w:val="20"/>
          <w:szCs w:val="20"/>
        </w:rPr>
      </w:pPr>
      <w:r>
        <w:rPr>
          <w:sz w:val="20"/>
          <w:szCs w:val="20"/>
        </w:rPr>
        <w:t xml:space="preserve"> </w:t>
      </w:r>
      <w:r w:rsidR="00DF2D4D">
        <w:rPr>
          <w:sz w:val="20"/>
          <w:szCs w:val="20"/>
        </w:rPr>
        <w:t>Tabella tratta dal nilancio della IAG al 31 dicembre 202</w:t>
      </w:r>
      <w:r w:rsidR="00CB22BA">
        <w:rPr>
          <w:sz w:val="20"/>
          <w:szCs w:val="20"/>
        </w:rPr>
        <w:t>2</w:t>
      </w:r>
    </w:p>
    <w:p w14:paraId="6E0696C5" w14:textId="77777777" w:rsidR="00347A14" w:rsidRDefault="00347A14" w:rsidP="00347A14">
      <w:pPr>
        <w:rPr>
          <w:sz w:val="20"/>
          <w:szCs w:val="20"/>
        </w:rPr>
      </w:pPr>
    </w:p>
    <w:p w14:paraId="1B189943" w14:textId="77777777" w:rsidR="00347A14" w:rsidRDefault="00347A14" w:rsidP="00347A14">
      <w:pPr>
        <w:rPr>
          <w:sz w:val="20"/>
          <w:szCs w:val="20"/>
        </w:rPr>
      </w:pPr>
    </w:p>
    <w:p w14:paraId="6D6DB7CC" w14:textId="618FFBD4" w:rsidR="00347A14" w:rsidRDefault="00000000" w:rsidP="00347A14">
      <w:pPr>
        <w:ind w:left="2832"/>
        <w:rPr>
          <w:b/>
          <w:bCs/>
          <w:i/>
          <w:iCs/>
          <w:color w:val="4472C4" w:themeColor="accent1"/>
          <w:sz w:val="20"/>
          <w:szCs w:val="20"/>
        </w:rPr>
      </w:pPr>
      <w:hyperlink r:id="rId7" w:history="1">
        <w:r w:rsidR="0028180A" w:rsidRPr="008C0211">
          <w:rPr>
            <w:rStyle w:val="Collegamentoipertestuale"/>
            <w:b/>
            <w:bCs/>
            <w:i/>
            <w:iCs/>
            <w:sz w:val="20"/>
            <w:szCs w:val="20"/>
          </w:rPr>
          <w:t>www.Aviation-Industry-News.com</w:t>
        </w:r>
      </w:hyperlink>
    </w:p>
    <w:p w14:paraId="3F5C1F6C" w14:textId="29518251" w:rsidR="0028180A" w:rsidRDefault="0028180A" w:rsidP="0028180A">
      <w:pPr>
        <w:rPr>
          <w:color w:val="4472C4" w:themeColor="accent1"/>
          <w:sz w:val="16"/>
          <w:szCs w:val="16"/>
        </w:rPr>
      </w:pPr>
      <w:r>
        <w:rPr>
          <w:color w:val="4472C4" w:themeColor="accent1"/>
          <w:sz w:val="16"/>
          <w:szCs w:val="16"/>
        </w:rPr>
        <w:t>22 Agosto 2023</w:t>
      </w:r>
    </w:p>
    <w:p w14:paraId="53491F06" w14:textId="77777777" w:rsidR="006F2765" w:rsidRDefault="006F2765" w:rsidP="0028180A">
      <w:pPr>
        <w:rPr>
          <w:color w:val="4472C4" w:themeColor="accent1"/>
          <w:sz w:val="16"/>
          <w:szCs w:val="16"/>
        </w:rPr>
      </w:pPr>
    </w:p>
    <w:p w14:paraId="01AC43D8" w14:textId="77777777" w:rsidR="006F2765" w:rsidRDefault="006F2765" w:rsidP="0028180A">
      <w:pPr>
        <w:rPr>
          <w:color w:val="4472C4" w:themeColor="accent1"/>
          <w:sz w:val="16"/>
          <w:szCs w:val="16"/>
        </w:rPr>
      </w:pPr>
    </w:p>
    <w:p w14:paraId="23ABB62A" w14:textId="77777777" w:rsidR="006F2765" w:rsidRDefault="006F2765" w:rsidP="0028180A">
      <w:pPr>
        <w:rPr>
          <w:color w:val="4472C4" w:themeColor="accent1"/>
          <w:sz w:val="16"/>
          <w:szCs w:val="16"/>
        </w:rPr>
      </w:pPr>
    </w:p>
    <w:p w14:paraId="53F04A19" w14:textId="77777777" w:rsidR="006F2765" w:rsidRDefault="006F2765" w:rsidP="0028180A">
      <w:pPr>
        <w:rPr>
          <w:color w:val="4472C4" w:themeColor="accent1"/>
          <w:sz w:val="16"/>
          <w:szCs w:val="16"/>
        </w:rPr>
      </w:pPr>
    </w:p>
    <w:p w14:paraId="6BA05B11" w14:textId="77777777" w:rsidR="006F2765" w:rsidRDefault="006F2765" w:rsidP="0028180A">
      <w:pPr>
        <w:rPr>
          <w:color w:val="4472C4" w:themeColor="accent1"/>
          <w:sz w:val="16"/>
          <w:szCs w:val="16"/>
        </w:rPr>
      </w:pPr>
    </w:p>
    <w:p w14:paraId="060A5C4C" w14:textId="77777777" w:rsidR="006F2765" w:rsidRDefault="006F2765" w:rsidP="0028180A">
      <w:pPr>
        <w:rPr>
          <w:color w:val="4472C4" w:themeColor="accent1"/>
          <w:sz w:val="16"/>
          <w:szCs w:val="16"/>
        </w:rPr>
      </w:pPr>
    </w:p>
    <w:p w14:paraId="1125CAAF" w14:textId="77777777" w:rsidR="006F2765" w:rsidRDefault="006F2765" w:rsidP="0028180A">
      <w:pPr>
        <w:rPr>
          <w:color w:val="4472C4" w:themeColor="accent1"/>
          <w:sz w:val="16"/>
          <w:szCs w:val="16"/>
        </w:rPr>
      </w:pPr>
    </w:p>
    <w:p w14:paraId="51F4F9FB" w14:textId="77777777" w:rsidR="006F2765" w:rsidRDefault="006F2765" w:rsidP="0028180A">
      <w:pPr>
        <w:rPr>
          <w:color w:val="4472C4" w:themeColor="accent1"/>
          <w:sz w:val="16"/>
          <w:szCs w:val="16"/>
        </w:rPr>
      </w:pPr>
    </w:p>
    <w:p w14:paraId="77086A89" w14:textId="77777777" w:rsidR="006F2765" w:rsidRDefault="006F2765" w:rsidP="0028180A">
      <w:pPr>
        <w:rPr>
          <w:color w:val="4472C4" w:themeColor="accent1"/>
          <w:sz w:val="16"/>
          <w:szCs w:val="16"/>
        </w:rPr>
      </w:pPr>
    </w:p>
    <w:p w14:paraId="33BD1664" w14:textId="77777777" w:rsidR="006F2765" w:rsidRDefault="006F2765" w:rsidP="0028180A">
      <w:pPr>
        <w:rPr>
          <w:color w:val="4472C4" w:themeColor="accent1"/>
          <w:sz w:val="16"/>
          <w:szCs w:val="16"/>
        </w:rPr>
      </w:pPr>
    </w:p>
    <w:p w14:paraId="39D619B7" w14:textId="77777777" w:rsidR="006F2765" w:rsidRDefault="006F2765" w:rsidP="0028180A">
      <w:pPr>
        <w:rPr>
          <w:color w:val="4472C4" w:themeColor="accent1"/>
          <w:sz w:val="16"/>
          <w:szCs w:val="16"/>
        </w:rPr>
      </w:pPr>
    </w:p>
    <w:p w14:paraId="1203BD9B" w14:textId="77777777" w:rsidR="006F2765" w:rsidRDefault="006F2765" w:rsidP="0028180A">
      <w:pPr>
        <w:rPr>
          <w:color w:val="4472C4" w:themeColor="accent1"/>
          <w:sz w:val="16"/>
          <w:szCs w:val="16"/>
        </w:rPr>
      </w:pPr>
    </w:p>
    <w:p w14:paraId="3637B631" w14:textId="77777777" w:rsidR="006F2765" w:rsidRDefault="006F2765" w:rsidP="0028180A">
      <w:pPr>
        <w:rPr>
          <w:color w:val="4472C4" w:themeColor="accent1"/>
          <w:sz w:val="16"/>
          <w:szCs w:val="16"/>
        </w:rPr>
      </w:pPr>
    </w:p>
    <w:p w14:paraId="6F1F09C3" w14:textId="77777777" w:rsidR="006F2765" w:rsidRDefault="006F2765" w:rsidP="0028180A">
      <w:pPr>
        <w:rPr>
          <w:color w:val="4472C4" w:themeColor="accent1"/>
          <w:sz w:val="16"/>
          <w:szCs w:val="16"/>
        </w:rPr>
      </w:pPr>
    </w:p>
    <w:p w14:paraId="1D9F0097" w14:textId="77777777" w:rsidR="006F2765" w:rsidRDefault="006F2765" w:rsidP="0028180A">
      <w:pPr>
        <w:rPr>
          <w:color w:val="4472C4" w:themeColor="accent1"/>
          <w:sz w:val="16"/>
          <w:szCs w:val="16"/>
        </w:rPr>
      </w:pPr>
    </w:p>
    <w:p w14:paraId="22A61D5C" w14:textId="77777777" w:rsidR="006F2765" w:rsidRDefault="006F2765"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lastRenderedPageBreak/>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9"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B2550"/>
    <w:rsid w:val="001D7046"/>
    <w:rsid w:val="001E5880"/>
    <w:rsid w:val="001F3837"/>
    <w:rsid w:val="002031B7"/>
    <w:rsid w:val="00227652"/>
    <w:rsid w:val="002427B4"/>
    <w:rsid w:val="00250A9F"/>
    <w:rsid w:val="00270D2F"/>
    <w:rsid w:val="0028180A"/>
    <w:rsid w:val="002835DB"/>
    <w:rsid w:val="00293B0A"/>
    <w:rsid w:val="002E76C5"/>
    <w:rsid w:val="00303E59"/>
    <w:rsid w:val="00305DF3"/>
    <w:rsid w:val="00342217"/>
    <w:rsid w:val="003463F7"/>
    <w:rsid w:val="00347A14"/>
    <w:rsid w:val="003557DD"/>
    <w:rsid w:val="0036041D"/>
    <w:rsid w:val="00391C28"/>
    <w:rsid w:val="003C1DC9"/>
    <w:rsid w:val="003D1358"/>
    <w:rsid w:val="003E1682"/>
    <w:rsid w:val="00417C0C"/>
    <w:rsid w:val="00425259"/>
    <w:rsid w:val="00447F8E"/>
    <w:rsid w:val="00451408"/>
    <w:rsid w:val="00456597"/>
    <w:rsid w:val="00496635"/>
    <w:rsid w:val="004A6F6A"/>
    <w:rsid w:val="004B154E"/>
    <w:rsid w:val="004B15FD"/>
    <w:rsid w:val="004D02DF"/>
    <w:rsid w:val="004D2A23"/>
    <w:rsid w:val="00511FCC"/>
    <w:rsid w:val="00516C1A"/>
    <w:rsid w:val="005439D4"/>
    <w:rsid w:val="00543E08"/>
    <w:rsid w:val="00562A27"/>
    <w:rsid w:val="005919F0"/>
    <w:rsid w:val="005955F6"/>
    <w:rsid w:val="00596278"/>
    <w:rsid w:val="005967D3"/>
    <w:rsid w:val="005D0413"/>
    <w:rsid w:val="005F677A"/>
    <w:rsid w:val="00635194"/>
    <w:rsid w:val="00637050"/>
    <w:rsid w:val="00665DFF"/>
    <w:rsid w:val="006700E6"/>
    <w:rsid w:val="0067240B"/>
    <w:rsid w:val="006B4945"/>
    <w:rsid w:val="006F2765"/>
    <w:rsid w:val="00711302"/>
    <w:rsid w:val="007303B4"/>
    <w:rsid w:val="00747975"/>
    <w:rsid w:val="007547A0"/>
    <w:rsid w:val="0075671A"/>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61C85"/>
    <w:rsid w:val="00961F4A"/>
    <w:rsid w:val="0097133F"/>
    <w:rsid w:val="00975D54"/>
    <w:rsid w:val="00976E63"/>
    <w:rsid w:val="0098224B"/>
    <w:rsid w:val="009B2D4D"/>
    <w:rsid w:val="009C6F4B"/>
    <w:rsid w:val="009D0FD1"/>
    <w:rsid w:val="009F5359"/>
    <w:rsid w:val="00A00F6F"/>
    <w:rsid w:val="00A108FF"/>
    <w:rsid w:val="00A47B38"/>
    <w:rsid w:val="00A555D8"/>
    <w:rsid w:val="00A57D36"/>
    <w:rsid w:val="00A832DE"/>
    <w:rsid w:val="00A86A7A"/>
    <w:rsid w:val="00AA4524"/>
    <w:rsid w:val="00AB6B88"/>
    <w:rsid w:val="00AC3138"/>
    <w:rsid w:val="00AE3789"/>
    <w:rsid w:val="00AE527E"/>
    <w:rsid w:val="00AE7206"/>
    <w:rsid w:val="00AF27D3"/>
    <w:rsid w:val="00B1252E"/>
    <w:rsid w:val="00B21B01"/>
    <w:rsid w:val="00B459E5"/>
    <w:rsid w:val="00B86659"/>
    <w:rsid w:val="00B97828"/>
    <w:rsid w:val="00BB487F"/>
    <w:rsid w:val="00BB5C5C"/>
    <w:rsid w:val="00BC5DCF"/>
    <w:rsid w:val="00C06F3B"/>
    <w:rsid w:val="00C107B3"/>
    <w:rsid w:val="00C31826"/>
    <w:rsid w:val="00C624AC"/>
    <w:rsid w:val="00C62814"/>
    <w:rsid w:val="00C67166"/>
    <w:rsid w:val="00C90D97"/>
    <w:rsid w:val="00CA0D26"/>
    <w:rsid w:val="00CB22BA"/>
    <w:rsid w:val="00CB7871"/>
    <w:rsid w:val="00CF6408"/>
    <w:rsid w:val="00D42B5A"/>
    <w:rsid w:val="00D4417C"/>
    <w:rsid w:val="00D5060A"/>
    <w:rsid w:val="00D619E0"/>
    <w:rsid w:val="00D70D97"/>
    <w:rsid w:val="00D868B3"/>
    <w:rsid w:val="00DB198D"/>
    <w:rsid w:val="00DF2D4D"/>
    <w:rsid w:val="00DF7865"/>
    <w:rsid w:val="00E051C3"/>
    <w:rsid w:val="00E22C78"/>
    <w:rsid w:val="00E27147"/>
    <w:rsid w:val="00E420B5"/>
    <w:rsid w:val="00EB2A7E"/>
    <w:rsid w:val="00EB68DB"/>
    <w:rsid w:val="00EC76F8"/>
    <w:rsid w:val="00EE792F"/>
    <w:rsid w:val="00EF06F6"/>
    <w:rsid w:val="00F23C65"/>
    <w:rsid w:val="00F426D0"/>
    <w:rsid w:val="00F54695"/>
    <w:rsid w:val="00F54EC7"/>
    <w:rsid w:val="00F61F0B"/>
    <w:rsid w:val="00F70C0B"/>
    <w:rsid w:val="00F73655"/>
    <w:rsid w:val="00F770FB"/>
    <w:rsid w:val="00F866D1"/>
    <w:rsid w:val="00F91F38"/>
    <w:rsid w:val="00FA7668"/>
    <w:rsid w:val="00FC1574"/>
    <w:rsid w:val="00FD7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bnedit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1343</Words>
  <Characters>7657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Luca Bordoni</cp:lastModifiedBy>
  <cp:revision>159</cp:revision>
  <dcterms:created xsi:type="dcterms:W3CDTF">2023-08-20T08:20:00Z</dcterms:created>
  <dcterms:modified xsi:type="dcterms:W3CDTF">2023-08-22T10:23:00Z</dcterms:modified>
</cp:coreProperties>
</file>