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32F8" w14:textId="1F446BD1" w:rsidR="002B7489" w:rsidRPr="001030DE" w:rsidRDefault="002B7489" w:rsidP="002B7489">
      <w:pPr>
        <w:rPr>
          <w:i/>
          <w:iCs/>
          <w:color w:val="00B0F0"/>
          <w:sz w:val="20"/>
          <w:szCs w:val="20"/>
        </w:rPr>
      </w:pPr>
      <w:r w:rsidRPr="001030DE">
        <w:rPr>
          <w:i/>
          <w:iCs/>
          <w:color w:val="00B0F0"/>
          <w:sz w:val="20"/>
          <w:szCs w:val="20"/>
        </w:rPr>
        <w:t>Aviation</w:t>
      </w:r>
      <w:r w:rsidR="001030DE" w:rsidRPr="001030DE">
        <w:rPr>
          <w:i/>
          <w:iCs/>
          <w:color w:val="00B0F0"/>
          <w:sz w:val="20"/>
          <w:szCs w:val="20"/>
        </w:rPr>
        <w:t xml:space="preserve"> Industry News</w:t>
      </w:r>
    </w:p>
    <w:p w14:paraId="6BFBA222" w14:textId="77777777" w:rsidR="001030DE" w:rsidRDefault="001030DE" w:rsidP="00600242">
      <w:pPr>
        <w:jc w:val="center"/>
        <w:rPr>
          <w:b/>
          <w:bCs/>
          <w:color w:val="00B0F0"/>
          <w:sz w:val="28"/>
          <w:szCs w:val="28"/>
        </w:rPr>
      </w:pPr>
    </w:p>
    <w:p w14:paraId="0CC91EEC" w14:textId="1EE901ED" w:rsidR="00080E6D" w:rsidRPr="00600242" w:rsidRDefault="00FE4556" w:rsidP="00600242">
      <w:pPr>
        <w:jc w:val="center"/>
        <w:rPr>
          <w:b/>
          <w:bCs/>
          <w:color w:val="00B0F0"/>
          <w:sz w:val="28"/>
          <w:szCs w:val="28"/>
        </w:rPr>
      </w:pPr>
      <w:r>
        <w:rPr>
          <w:b/>
          <w:bCs/>
          <w:color w:val="00B0F0"/>
          <w:sz w:val="28"/>
          <w:szCs w:val="28"/>
        </w:rPr>
        <w:t>IL TRAFFICO DOMESTICO DELLE LOW COST STRANIERE E IL CONCETTO DI “BASE”</w:t>
      </w:r>
    </w:p>
    <w:p w14:paraId="762EE43A" w14:textId="77777777" w:rsidR="00341286" w:rsidRDefault="00341286" w:rsidP="005649D9">
      <w:pPr>
        <w:spacing w:after="0"/>
        <w:rPr>
          <w:i/>
          <w:iCs/>
        </w:rPr>
      </w:pPr>
    </w:p>
    <w:p w14:paraId="2025B489" w14:textId="59859EEE" w:rsidR="007E36A2" w:rsidRDefault="007E36A2" w:rsidP="005649D9">
      <w:pPr>
        <w:spacing w:after="0"/>
      </w:pPr>
      <w:r w:rsidRPr="00600242">
        <w:rPr>
          <w:i/>
          <w:iCs/>
        </w:rPr>
        <w:t>“Una aerolinea ha il diritto di trasportare traffico da un punto all’altro all’interno di uno Stato”</w:t>
      </w:r>
      <w:r>
        <w:t xml:space="preserve">: </w:t>
      </w:r>
      <w:r w:rsidR="00121E46">
        <w:t>q</w:t>
      </w:r>
      <w:r>
        <w:t>uesta libertà dell’aria viene denominata anche cabotaggio.</w:t>
      </w:r>
    </w:p>
    <w:p w14:paraId="1168E9EF" w14:textId="3B60606A" w:rsidR="007E36A2" w:rsidRDefault="007E36A2">
      <w:r>
        <w:t xml:space="preserve">Essa </w:t>
      </w:r>
      <w:r w:rsidR="00600242">
        <w:t>rappresenta</w:t>
      </w:r>
      <w:r>
        <w:t xml:space="preserve"> la nona libertà dell’aria, come mostra</w:t>
      </w:r>
      <w:r w:rsidR="00F71B4E">
        <w:t>to</w:t>
      </w:r>
      <w:r>
        <w:t xml:space="preserve"> </w:t>
      </w:r>
      <w:r w:rsidR="00F71B4E">
        <w:t>nel</w:t>
      </w:r>
      <w:r w:rsidR="00600242">
        <w:t>la sottostante</w:t>
      </w:r>
      <w:r>
        <w:t xml:space="preserve"> tabella esemplificativa </w:t>
      </w:r>
      <w:r w:rsidRPr="00121E46">
        <w:rPr>
          <w:color w:val="FF0000"/>
          <w:sz w:val="18"/>
          <w:szCs w:val="18"/>
        </w:rPr>
        <w:t>(1)</w:t>
      </w:r>
    </w:p>
    <w:p w14:paraId="4B0BF78F" w14:textId="1341BD28" w:rsidR="007E36A2" w:rsidRDefault="00600242" w:rsidP="00600242">
      <w:pPr>
        <w:jc w:val="center"/>
      </w:pPr>
      <w:r w:rsidRPr="00600242">
        <w:rPr>
          <w:noProof/>
          <w:bdr w:val="single" w:sz="12" w:space="0" w:color="auto"/>
        </w:rPr>
        <w:drawing>
          <wp:inline distT="0" distB="0" distL="0" distR="0" wp14:anchorId="7629AE48" wp14:editId="49C21B61">
            <wp:extent cx="3308400" cy="2412000"/>
            <wp:effectExtent l="0" t="0" r="635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8400" cy="2412000"/>
                    </a:xfrm>
                    <a:prstGeom prst="rect">
                      <a:avLst/>
                    </a:prstGeom>
                  </pic:spPr>
                </pic:pic>
              </a:graphicData>
            </a:graphic>
          </wp:inline>
        </w:drawing>
      </w:r>
    </w:p>
    <w:p w14:paraId="31F0D449" w14:textId="1A893E38" w:rsidR="00784D5C" w:rsidRPr="00B70D8E" w:rsidRDefault="00121E46" w:rsidP="00104C5B">
      <w:pPr>
        <w:rPr>
          <w:b/>
          <w:bCs/>
        </w:rPr>
      </w:pPr>
      <w:r>
        <w:t xml:space="preserve">Non è un caso se essa è </w:t>
      </w:r>
      <w:proofErr w:type="gramStart"/>
      <w:r>
        <w:t>l’ultima  delle</w:t>
      </w:r>
      <w:proofErr w:type="gramEnd"/>
      <w:r>
        <w:t xml:space="preserve"> libertà in vigore dal momento che  è stat</w:t>
      </w:r>
      <w:r w:rsidR="00B70D8E">
        <w:t>o</w:t>
      </w:r>
      <w:r>
        <w:t xml:space="preserve"> l’ultimo “strappo” a quelle che una volta erano le cinque libertà che regolavano il mondo dell’aviazione civile. Delle cinque libertà basiche quella più </w:t>
      </w:r>
      <w:r w:rsidRPr="00104C5B">
        <w:rPr>
          <w:i/>
          <w:iCs/>
        </w:rPr>
        <w:t>os</w:t>
      </w:r>
      <w:r w:rsidR="00101719" w:rsidRPr="00104C5B">
        <w:rPr>
          <w:i/>
          <w:iCs/>
        </w:rPr>
        <w:t>é</w:t>
      </w:r>
      <w:r>
        <w:t xml:space="preserve"> era la quinta</w:t>
      </w:r>
      <w:r w:rsidR="006F7246">
        <w:t>,</w:t>
      </w:r>
      <w:r>
        <w:t xml:space="preserve"> ovvero la possibilità per l’aerolinea appartenente al Paese “A” di volare fra “B” e “C” imbarcando (e sbarcando) passeggeri.</w:t>
      </w:r>
      <w:r w:rsidR="00101719">
        <w:t xml:space="preserve"> </w:t>
      </w:r>
      <w:r w:rsidR="004B1563">
        <w:t>Per esporre un caso concre</w:t>
      </w:r>
      <w:r w:rsidR="007E60DB">
        <w:t>t</w:t>
      </w:r>
      <w:r w:rsidR="004B1563">
        <w:t>o, a</w:t>
      </w:r>
      <w:r w:rsidR="00101719">
        <w:t xml:space="preserve">ppartiene a quest’ultima tipologia </w:t>
      </w:r>
      <w:r w:rsidR="00CC12B6">
        <w:t xml:space="preserve">il </w:t>
      </w:r>
      <w:r w:rsidR="00400719">
        <w:t xml:space="preserve">non poco contestato </w:t>
      </w:r>
      <w:r w:rsidR="00CC12B6">
        <w:t>diritto concesso dall’Italia a Singapore Airlines di volare fra Ma</w:t>
      </w:r>
      <w:r w:rsidR="007E60DB">
        <w:t>l</w:t>
      </w:r>
      <w:r w:rsidR="00CC12B6">
        <w:t>pensa e New York.</w:t>
      </w:r>
      <w:r w:rsidR="00D85D36">
        <w:t xml:space="preserve"> </w:t>
      </w:r>
      <w:r w:rsidR="00D85D36" w:rsidRPr="00104C5B">
        <w:rPr>
          <w:color w:val="FF0000"/>
          <w:sz w:val="18"/>
          <w:szCs w:val="18"/>
        </w:rPr>
        <w:t>(2)</w:t>
      </w:r>
      <w:r w:rsidR="00784D5C" w:rsidRPr="00104C5B">
        <w:rPr>
          <w:color w:val="FF0000"/>
        </w:rPr>
        <w:t xml:space="preserve"> </w:t>
      </w:r>
      <w:r w:rsidR="00784D5C" w:rsidRPr="00784D5C">
        <w:t>Ma non è questa la libert</w:t>
      </w:r>
      <w:r w:rsidR="00784D5C">
        <w:t>à</w:t>
      </w:r>
      <w:r w:rsidR="00784D5C" w:rsidRPr="00784D5C">
        <w:t xml:space="preserve"> su cui intendiamo soffermarci, quanto piuttosto la nona</w:t>
      </w:r>
      <w:r w:rsidR="00D72111">
        <w:t>,</w:t>
      </w:r>
      <w:r w:rsidR="00784D5C">
        <w:t xml:space="preserve"> ovvero quella che permette ad una compagnia </w:t>
      </w:r>
      <w:r w:rsidR="005218A9">
        <w:t>del Paese “A” di condurre voli domestici all’interno di un Paese “B”</w:t>
      </w:r>
      <w:r w:rsidR="00104C5B">
        <w:t>.</w:t>
      </w:r>
      <w:r w:rsidR="00DB5252">
        <w:t xml:space="preserve"> </w:t>
      </w:r>
      <w:r w:rsidR="00DB5252" w:rsidRPr="00B70D8E">
        <w:rPr>
          <w:b/>
          <w:bCs/>
        </w:rPr>
        <w:t xml:space="preserve">E lo vogliamo fare per evidenziare come </w:t>
      </w:r>
      <w:r w:rsidR="002C174A" w:rsidRPr="00B70D8E">
        <w:rPr>
          <w:b/>
          <w:bCs/>
        </w:rPr>
        <w:t xml:space="preserve">su questo fronte l’Italia rappresenti uno dei </w:t>
      </w:r>
      <w:r w:rsidR="005B118A" w:rsidRPr="00B70D8E">
        <w:rPr>
          <w:b/>
          <w:bCs/>
        </w:rPr>
        <w:t xml:space="preserve">pochi </w:t>
      </w:r>
      <w:r w:rsidR="002C174A" w:rsidRPr="00B70D8E">
        <w:rPr>
          <w:b/>
          <w:bCs/>
        </w:rPr>
        <w:t>paesi</w:t>
      </w:r>
      <w:r w:rsidR="005B118A" w:rsidRPr="00B70D8E">
        <w:rPr>
          <w:b/>
          <w:bCs/>
        </w:rPr>
        <w:t>, se non l’unico,</w:t>
      </w:r>
      <w:r w:rsidR="00A74679" w:rsidRPr="00B70D8E">
        <w:rPr>
          <w:b/>
          <w:bCs/>
        </w:rPr>
        <w:t xml:space="preserve"> ove le compagnie straniere </w:t>
      </w:r>
      <w:r w:rsidR="00C469F7" w:rsidRPr="00B70D8E">
        <w:rPr>
          <w:b/>
          <w:bCs/>
        </w:rPr>
        <w:t>hanno</w:t>
      </w:r>
      <w:r w:rsidR="00A74679" w:rsidRPr="00B70D8E">
        <w:rPr>
          <w:b/>
          <w:bCs/>
        </w:rPr>
        <w:t xml:space="preserve"> letteralmente </w:t>
      </w:r>
      <w:proofErr w:type="gramStart"/>
      <w:r w:rsidR="00643EFB" w:rsidRPr="00B70D8E">
        <w:rPr>
          <w:b/>
          <w:bCs/>
        </w:rPr>
        <w:t xml:space="preserve">invaso </w:t>
      </w:r>
      <w:r w:rsidR="00031F08" w:rsidRPr="00B70D8E">
        <w:rPr>
          <w:b/>
          <w:bCs/>
        </w:rPr>
        <w:t xml:space="preserve"> e</w:t>
      </w:r>
      <w:proofErr w:type="gramEnd"/>
      <w:r w:rsidR="008C60FC" w:rsidRPr="00B70D8E">
        <w:rPr>
          <w:b/>
          <w:bCs/>
        </w:rPr>
        <w:t xml:space="preserve"> fatto man bassa</w:t>
      </w:r>
      <w:r w:rsidR="00031F08" w:rsidRPr="00B70D8E">
        <w:rPr>
          <w:b/>
          <w:bCs/>
        </w:rPr>
        <w:t xml:space="preserve"> del mercato domestico</w:t>
      </w:r>
      <w:r w:rsidR="005B118A" w:rsidRPr="00B70D8E">
        <w:rPr>
          <w:b/>
          <w:bCs/>
        </w:rPr>
        <w:t>.</w:t>
      </w:r>
    </w:p>
    <w:p w14:paraId="20AB841E" w14:textId="558501B1" w:rsidR="00054D0C" w:rsidRDefault="00054D0C" w:rsidP="00104C5B">
      <w:r>
        <w:t xml:space="preserve">Ore 8.30 di un qualsiasi giorno </w:t>
      </w:r>
      <w:r w:rsidRPr="00F72CEB">
        <w:rPr>
          <w:color w:val="FF0000"/>
          <w:sz w:val="18"/>
          <w:szCs w:val="18"/>
        </w:rPr>
        <w:t>(3)</w:t>
      </w:r>
      <w:r w:rsidR="005E6054">
        <w:t>. Siamo di fronte al</w:t>
      </w:r>
      <w:r w:rsidR="00CF249E">
        <w:t>lo schermo del</w:t>
      </w:r>
      <w:r w:rsidR="005E6054">
        <w:t xml:space="preserve"> PC ove abbiamo attivato il programma </w:t>
      </w:r>
      <w:r w:rsidR="00F72CEB" w:rsidRPr="00FC4373">
        <w:rPr>
          <w:i/>
          <w:iCs/>
        </w:rPr>
        <w:t>Flightradar24</w:t>
      </w:r>
      <w:r w:rsidR="00F72CEB">
        <w:t>. Abbiamo selezionato</w:t>
      </w:r>
      <w:r w:rsidR="000F722E">
        <w:t xml:space="preserve"> l’area del Mar Tirreno e osserviamo gli a</w:t>
      </w:r>
      <w:r w:rsidR="00D76F71">
        <w:t xml:space="preserve">erei che stanno operando. Troviamo la compagnia </w:t>
      </w:r>
      <w:r w:rsidR="000A14BF">
        <w:rPr>
          <w:b/>
          <w:bCs/>
        </w:rPr>
        <w:t>dane</w:t>
      </w:r>
      <w:r w:rsidR="00D76F71" w:rsidRPr="00147FE3">
        <w:rPr>
          <w:b/>
          <w:bCs/>
        </w:rPr>
        <w:t>se</w:t>
      </w:r>
      <w:r w:rsidR="00D76F71">
        <w:t xml:space="preserve"> DAT </w:t>
      </w:r>
      <w:r w:rsidR="00B97352">
        <w:t xml:space="preserve">che opera un volo da Palermo a Lampedusa, la </w:t>
      </w:r>
      <w:r w:rsidR="00B97352" w:rsidRPr="00147FE3">
        <w:rPr>
          <w:b/>
          <w:bCs/>
        </w:rPr>
        <w:t>irlandese</w:t>
      </w:r>
      <w:r w:rsidR="00B97352">
        <w:t xml:space="preserve"> Ryanair</w:t>
      </w:r>
      <w:r w:rsidR="008B2FC4">
        <w:t xml:space="preserve"> che sta operando sulla Catania-Fiumicino, la </w:t>
      </w:r>
      <w:r w:rsidR="008B2FC4" w:rsidRPr="00147FE3">
        <w:rPr>
          <w:b/>
          <w:bCs/>
        </w:rPr>
        <w:t>spagnola</w:t>
      </w:r>
      <w:r w:rsidR="008B2FC4">
        <w:t xml:space="preserve"> Albasta</w:t>
      </w:r>
      <w:r w:rsidR="006B6343">
        <w:t>r che op</w:t>
      </w:r>
      <w:r w:rsidR="00EC40F3">
        <w:t>e</w:t>
      </w:r>
      <w:r w:rsidR="006B6343">
        <w:t xml:space="preserve">ra fra Malpensa e Catania, la </w:t>
      </w:r>
      <w:r w:rsidR="006B6343" w:rsidRPr="00147FE3">
        <w:rPr>
          <w:b/>
          <w:bCs/>
        </w:rPr>
        <w:t>inglese</w:t>
      </w:r>
      <w:r w:rsidR="006B6343">
        <w:t xml:space="preserve"> </w:t>
      </w:r>
      <w:r w:rsidR="00B96917">
        <w:t>E</w:t>
      </w:r>
      <w:r w:rsidR="006B6343">
        <w:t>asyjet</w:t>
      </w:r>
      <w:r w:rsidR="00545C6F">
        <w:t xml:space="preserve"> che opera da Malpensa a Catania, un’altra compagnia </w:t>
      </w:r>
      <w:r w:rsidR="00545C6F" w:rsidRPr="00147FE3">
        <w:rPr>
          <w:b/>
          <w:bCs/>
        </w:rPr>
        <w:t>spagnola</w:t>
      </w:r>
      <w:r w:rsidR="00545C6F">
        <w:t xml:space="preserve"> la Volotea</w:t>
      </w:r>
      <w:r w:rsidR="00147FE3">
        <w:t xml:space="preserve"> </w:t>
      </w:r>
      <w:r w:rsidR="00545C6F">
        <w:t>o che sta volando</w:t>
      </w:r>
      <w:r w:rsidR="00FE2013">
        <w:t xml:space="preserve"> fra Lampedusa e Bologna. Siam</w:t>
      </w:r>
      <w:r w:rsidR="0042143F">
        <w:t>o</w:t>
      </w:r>
      <w:r w:rsidR="00FE2013">
        <w:t xml:space="preserve"> cer</w:t>
      </w:r>
      <w:r w:rsidR="00147FE3">
        <w:t>t</w:t>
      </w:r>
      <w:r w:rsidR="00FE2013">
        <w:t>i che la lista non finisca qui</w:t>
      </w:r>
      <w:r w:rsidR="00E36A17">
        <w:t xml:space="preserve"> ma per amor di brevità la risparmiamo al lettore. </w:t>
      </w:r>
      <w:r w:rsidR="0042143F">
        <w:t xml:space="preserve">Cinque compagnie straniere che operano voli </w:t>
      </w:r>
      <w:r w:rsidR="008E6122">
        <w:t>nazionali</w:t>
      </w:r>
      <w:r w:rsidR="0042143F">
        <w:t xml:space="preserve"> crediamo già costituisca un</w:t>
      </w:r>
      <w:r w:rsidR="00044EBB">
        <w:t xml:space="preserve"> valido esempio</w:t>
      </w:r>
      <w:r w:rsidR="00FF3F9C">
        <w:t xml:space="preserve"> per affermare che</w:t>
      </w:r>
      <w:r w:rsidR="00AE4F3E">
        <w:t xml:space="preserve"> i nostri servizi domestici</w:t>
      </w:r>
      <w:r w:rsidR="00147FE3">
        <w:t>,</w:t>
      </w:r>
      <w:r w:rsidR="00AE4F3E">
        <w:t xml:space="preserve"> quelli che una volta veniva</w:t>
      </w:r>
      <w:r w:rsidR="00147FE3">
        <w:t>no</w:t>
      </w:r>
      <w:r w:rsidR="00AE4F3E">
        <w:t xml:space="preserve"> operati solo ed esclusivament</w:t>
      </w:r>
      <w:r w:rsidR="00147FE3">
        <w:t>e</w:t>
      </w:r>
      <w:r w:rsidR="00AE4F3E">
        <w:t xml:space="preserve"> da compagnie italiane</w:t>
      </w:r>
      <w:r w:rsidR="00147FE3">
        <w:t>,</w:t>
      </w:r>
      <w:r w:rsidR="002F3E74">
        <w:t xml:space="preserve"> sono oggi svolti</w:t>
      </w:r>
      <w:r w:rsidR="008E6122">
        <w:t xml:space="preserve"> </w:t>
      </w:r>
      <w:r w:rsidR="00FF3F9C">
        <w:t>in grande maggioranza</w:t>
      </w:r>
      <w:r w:rsidR="002F3E74">
        <w:t xml:space="preserve"> da vettori stranieri. D’altra parte questo fatto </w:t>
      </w:r>
      <w:r w:rsidR="00DB2CF1">
        <w:t xml:space="preserve">non </w:t>
      </w:r>
      <w:r w:rsidR="002F3E74">
        <w:t xml:space="preserve">era </w:t>
      </w:r>
      <w:r w:rsidR="00DB2CF1">
        <w:t>per</w:t>
      </w:r>
      <w:r w:rsidR="002F3E74">
        <w:t xml:space="preserve"> noi </w:t>
      </w:r>
      <w:r w:rsidR="00DB2CF1">
        <w:t>una sorpresa</w:t>
      </w:r>
      <w:r w:rsidR="002F3E74">
        <w:t xml:space="preserve"> dal momento che </w:t>
      </w:r>
      <w:r w:rsidR="00D27A2A">
        <w:t>le pubblicazion</w:t>
      </w:r>
      <w:r w:rsidR="00F000E2">
        <w:t>i</w:t>
      </w:r>
      <w:r w:rsidR="00D27A2A">
        <w:t xml:space="preserve"> emesse dall’Enac</w:t>
      </w:r>
      <w:r w:rsidR="00F000E2">
        <w:t xml:space="preserve">, Ente </w:t>
      </w:r>
      <w:r w:rsidR="00DB2CF1">
        <w:t>N</w:t>
      </w:r>
      <w:r w:rsidR="00F000E2">
        <w:t xml:space="preserve">azionale Aviazione </w:t>
      </w:r>
      <w:proofErr w:type="gramStart"/>
      <w:r w:rsidR="00F000E2">
        <w:t>Civile</w:t>
      </w:r>
      <w:r w:rsidR="00655CD2">
        <w:t>,</w:t>
      </w:r>
      <w:r w:rsidR="00D27A2A">
        <w:t xml:space="preserve">  ci</w:t>
      </w:r>
      <w:proofErr w:type="gramEnd"/>
      <w:r w:rsidR="00D27A2A">
        <w:t xml:space="preserve"> avevano sempre mostrato come le compagnie low cost straniere avessero invaso</w:t>
      </w:r>
      <w:r w:rsidR="00171E28">
        <w:t xml:space="preserve"> i nostri cieli</w:t>
      </w:r>
      <w:r w:rsidR="00D27A2A">
        <w:t xml:space="preserve"> e conducessero le graduatorie nei nostri traffici.</w:t>
      </w:r>
    </w:p>
    <w:p w14:paraId="2A474643" w14:textId="09F57C98" w:rsidR="00C02C2E" w:rsidRDefault="00C02C2E" w:rsidP="00104C5B">
      <w:r>
        <w:t xml:space="preserve">Fra le tante tabelle disponibili nell’annuario </w:t>
      </w:r>
      <w:r w:rsidR="002915BA">
        <w:t>Enac</w:t>
      </w:r>
      <w:r w:rsidR="008E6122">
        <w:t xml:space="preserve"> </w:t>
      </w:r>
      <w:r w:rsidR="00A94ABD">
        <w:t xml:space="preserve">che trattano </w:t>
      </w:r>
      <w:r w:rsidR="00A94ABD" w:rsidRPr="00B56129">
        <w:rPr>
          <w:b/>
          <w:bCs/>
        </w:rPr>
        <w:t>del</w:t>
      </w:r>
      <w:r w:rsidR="00A148CD" w:rsidRPr="00B56129">
        <w:rPr>
          <w:b/>
          <w:bCs/>
        </w:rPr>
        <w:t xml:space="preserve"> traffico nazionale</w:t>
      </w:r>
      <w:r w:rsidR="00A148CD">
        <w:t>,</w:t>
      </w:r>
      <w:r w:rsidR="002915BA">
        <w:t xml:space="preserve"> </w:t>
      </w:r>
      <w:r w:rsidR="00171E28">
        <w:t>scegliamo ad esempio</w:t>
      </w:r>
      <w:r w:rsidR="00681185">
        <w:t xml:space="preserve"> quella sulla graduatoria dei primi 50 collegamenti</w:t>
      </w:r>
      <w:r w:rsidR="00AF5FBF">
        <w:t xml:space="preserve"> operati</w:t>
      </w:r>
      <w:r w:rsidR="00667609">
        <w:t xml:space="preserve"> dai vettori low cost</w:t>
      </w:r>
      <w:r w:rsidR="00CA01ED">
        <w:t xml:space="preserve"> </w:t>
      </w:r>
      <w:r w:rsidR="00667609">
        <w:t xml:space="preserve">sui collegamenti </w:t>
      </w:r>
      <w:r w:rsidR="00A94ABD">
        <w:t>domestici</w:t>
      </w:r>
      <w:r w:rsidR="00667609">
        <w:t xml:space="preserve"> </w:t>
      </w:r>
      <w:r w:rsidR="00AC4B2B" w:rsidRPr="0091271D">
        <w:rPr>
          <w:color w:val="FF0000"/>
          <w:sz w:val="18"/>
          <w:szCs w:val="18"/>
        </w:rPr>
        <w:t>(4)</w:t>
      </w:r>
      <w:r w:rsidR="00CA01ED">
        <w:t xml:space="preserve">. </w:t>
      </w:r>
      <w:r w:rsidR="00CA01ED">
        <w:lastRenderedPageBreak/>
        <w:t>Ebbene in questa tabella non compare alcun vettore italiano</w:t>
      </w:r>
      <w:r w:rsidR="0014027C">
        <w:t>.</w:t>
      </w:r>
      <w:r w:rsidR="00D8158A">
        <w:t xml:space="preserve"> Una successiva tabella </w:t>
      </w:r>
      <w:r w:rsidR="00D8158A" w:rsidRPr="00E14CC6">
        <w:rPr>
          <w:color w:val="FF0000"/>
          <w:sz w:val="18"/>
          <w:szCs w:val="18"/>
        </w:rPr>
        <w:t>(5)</w:t>
      </w:r>
      <w:r w:rsidR="00966183" w:rsidRPr="00E14CC6">
        <w:rPr>
          <w:color w:val="FF0000"/>
        </w:rPr>
        <w:t xml:space="preserve"> </w:t>
      </w:r>
      <w:r w:rsidR="00B25F38">
        <w:t>ci fornisce cifre in dettaglio</w:t>
      </w:r>
      <w:r w:rsidR="004F33AD">
        <w:t xml:space="preserve"> per vettore</w:t>
      </w:r>
      <w:r w:rsidR="00876FD0">
        <w:t xml:space="preserve"> (low cost e tradizionali</w:t>
      </w:r>
      <w:r w:rsidR="002E479E">
        <w:t>)</w:t>
      </w:r>
      <w:r w:rsidR="005F6A8B">
        <w:t xml:space="preserve"> </w:t>
      </w:r>
      <w:proofErr w:type="gramStart"/>
      <w:r w:rsidR="005F6A8B">
        <w:t xml:space="preserve">e  </w:t>
      </w:r>
      <w:r w:rsidR="003A2AB5">
        <w:t>qui</w:t>
      </w:r>
      <w:proofErr w:type="gramEnd"/>
      <w:r w:rsidR="003A2AB5">
        <w:t xml:space="preserve"> </w:t>
      </w:r>
      <w:r w:rsidR="005F6A8B">
        <w:t>troviamo la Ryanair al primo posto</w:t>
      </w:r>
      <w:r w:rsidR="003A2AB5">
        <w:t>, seguita da Alita</w:t>
      </w:r>
      <w:r w:rsidR="00AD356F">
        <w:t>lia/</w:t>
      </w:r>
      <w:r w:rsidR="00A94ABD">
        <w:t>I</w:t>
      </w:r>
      <w:r w:rsidR="00AD356F">
        <w:t>ta.</w:t>
      </w:r>
      <w:r w:rsidR="001915B7">
        <w:t xml:space="preserve"> </w:t>
      </w:r>
      <w:r w:rsidR="00AD356F">
        <w:t>In questa tabella troviamo anche</w:t>
      </w:r>
      <w:r w:rsidR="001915B7">
        <w:t xml:space="preserve"> un altro vettore italiano</w:t>
      </w:r>
      <w:r w:rsidR="00AD356F">
        <w:t>,</w:t>
      </w:r>
      <w:r w:rsidR="001915B7">
        <w:t xml:space="preserve"> la Neos.</w:t>
      </w:r>
    </w:p>
    <w:p w14:paraId="1C7705A3" w14:textId="29F50ECE" w:rsidR="002E479E" w:rsidRPr="00032492" w:rsidRDefault="002E479E" w:rsidP="00104C5B">
      <w:pPr>
        <w:rPr>
          <w:i/>
          <w:iCs/>
          <w:u w:val="single"/>
        </w:rPr>
      </w:pPr>
      <w:r w:rsidRPr="00032492">
        <w:rPr>
          <w:i/>
          <w:iCs/>
          <w:u w:val="single"/>
        </w:rPr>
        <w:t>Graduatoria dei vettori operanti</w:t>
      </w:r>
      <w:r w:rsidR="007A3F10" w:rsidRPr="00032492">
        <w:rPr>
          <w:i/>
          <w:iCs/>
          <w:u w:val="single"/>
        </w:rPr>
        <w:t xml:space="preserve"> in Italia sul traffico nazionale (che hanno superato i 100mila movimenti)</w:t>
      </w:r>
    </w:p>
    <w:p w14:paraId="45DD9ED2" w14:textId="3CD2755C" w:rsidR="00077504" w:rsidRDefault="00077504" w:rsidP="00077504">
      <w:pPr>
        <w:pStyle w:val="Paragrafoelenco"/>
        <w:numPr>
          <w:ilvl w:val="0"/>
          <w:numId w:val="2"/>
        </w:numPr>
      </w:pPr>
      <w:r>
        <w:t>Ryanair</w:t>
      </w:r>
      <w:r>
        <w:tab/>
      </w:r>
      <w:r>
        <w:tab/>
      </w:r>
      <w:r w:rsidR="004C5F12">
        <w:t>7.845.000</w:t>
      </w:r>
    </w:p>
    <w:p w14:paraId="3CE2B1FF" w14:textId="77777777" w:rsidR="00E37B40" w:rsidRDefault="004C5F12" w:rsidP="00077504">
      <w:pPr>
        <w:pStyle w:val="Paragrafoelenco"/>
        <w:numPr>
          <w:ilvl w:val="0"/>
          <w:numId w:val="2"/>
        </w:numPr>
      </w:pPr>
      <w:r>
        <w:t>Alitalia + Ita</w:t>
      </w:r>
      <w:r w:rsidR="00E37B40">
        <w:tab/>
        <w:t>4.775.000</w:t>
      </w:r>
    </w:p>
    <w:p w14:paraId="03328DE9" w14:textId="77777777" w:rsidR="00145B1E" w:rsidRDefault="00145B1E" w:rsidP="00077504">
      <w:pPr>
        <w:pStyle w:val="Paragrafoelenco"/>
        <w:numPr>
          <w:ilvl w:val="0"/>
          <w:numId w:val="2"/>
        </w:numPr>
      </w:pPr>
      <w:r>
        <w:t>Easyjet</w:t>
      </w:r>
      <w:r>
        <w:tab/>
      </w:r>
      <w:r>
        <w:tab/>
        <w:t>2.241.000</w:t>
      </w:r>
    </w:p>
    <w:p w14:paraId="15DA88EE" w14:textId="77777777" w:rsidR="00833352" w:rsidRDefault="00145B1E" w:rsidP="00077504">
      <w:pPr>
        <w:pStyle w:val="Paragrafoelenco"/>
        <w:numPr>
          <w:ilvl w:val="0"/>
          <w:numId w:val="2"/>
        </w:numPr>
      </w:pPr>
      <w:r>
        <w:t>Volotea</w:t>
      </w:r>
      <w:r w:rsidR="005B3A58">
        <w:tab/>
      </w:r>
      <w:r w:rsidR="005B3A58">
        <w:tab/>
      </w:r>
      <w:r w:rsidR="00833352">
        <w:t>2.205.000</w:t>
      </w:r>
    </w:p>
    <w:p w14:paraId="3C043E69" w14:textId="77777777" w:rsidR="00833352" w:rsidRDefault="00833352" w:rsidP="00077504">
      <w:pPr>
        <w:pStyle w:val="Paragrafoelenco"/>
        <w:numPr>
          <w:ilvl w:val="0"/>
          <w:numId w:val="2"/>
        </w:numPr>
      </w:pPr>
      <w:r>
        <w:t>Wizz Air</w:t>
      </w:r>
      <w:r>
        <w:tab/>
        <w:t>1.815.000</w:t>
      </w:r>
    </w:p>
    <w:p w14:paraId="2C3CCB92" w14:textId="77777777" w:rsidR="00825A61" w:rsidRDefault="00825A61" w:rsidP="00077504">
      <w:pPr>
        <w:pStyle w:val="Paragrafoelenco"/>
        <w:numPr>
          <w:ilvl w:val="0"/>
          <w:numId w:val="2"/>
        </w:numPr>
      </w:pPr>
      <w:r>
        <w:t>Malta Air</w:t>
      </w:r>
      <w:r>
        <w:tab/>
        <w:t>1.250.000</w:t>
      </w:r>
    </w:p>
    <w:p w14:paraId="45C9C36F" w14:textId="77777777" w:rsidR="00BB002B" w:rsidRDefault="00825A61" w:rsidP="00077504">
      <w:pPr>
        <w:pStyle w:val="Paragrafoelenco"/>
        <w:numPr>
          <w:ilvl w:val="0"/>
          <w:numId w:val="2"/>
        </w:numPr>
      </w:pPr>
      <w:r>
        <w:t>Blue Air</w:t>
      </w:r>
      <w:r>
        <w:tab/>
        <w:t xml:space="preserve">    264.000</w:t>
      </w:r>
    </w:p>
    <w:p w14:paraId="529D71FD" w14:textId="77777777" w:rsidR="00BB002B" w:rsidRDefault="00BB002B" w:rsidP="00077504">
      <w:pPr>
        <w:pStyle w:val="Paragrafoelenco"/>
        <w:numPr>
          <w:ilvl w:val="0"/>
          <w:numId w:val="2"/>
        </w:numPr>
      </w:pPr>
      <w:r>
        <w:t>DAT</w:t>
      </w:r>
      <w:r>
        <w:tab/>
      </w:r>
      <w:r>
        <w:tab/>
        <w:t xml:space="preserve">    212.000</w:t>
      </w:r>
    </w:p>
    <w:p w14:paraId="056AB656" w14:textId="4BE0C32D" w:rsidR="00283547" w:rsidRDefault="00BB002B" w:rsidP="00077504">
      <w:pPr>
        <w:pStyle w:val="Paragrafoelenco"/>
        <w:numPr>
          <w:ilvl w:val="0"/>
          <w:numId w:val="2"/>
        </w:numPr>
      </w:pPr>
      <w:r>
        <w:t>Neos</w:t>
      </w:r>
      <w:r>
        <w:tab/>
      </w:r>
      <w:r>
        <w:tab/>
      </w:r>
      <w:r w:rsidR="00283547">
        <w:t xml:space="preserve">    128.000</w:t>
      </w:r>
    </w:p>
    <w:p w14:paraId="541675B3" w14:textId="164A9D49" w:rsidR="004C5F12" w:rsidRPr="00784D5C" w:rsidRDefault="00283547" w:rsidP="00077504">
      <w:pPr>
        <w:pStyle w:val="Paragrafoelenco"/>
        <w:numPr>
          <w:ilvl w:val="0"/>
          <w:numId w:val="2"/>
        </w:numPr>
      </w:pPr>
      <w:r>
        <w:t>Alba Star</w:t>
      </w:r>
      <w:r>
        <w:tab/>
        <w:t xml:space="preserve">    118.000</w:t>
      </w:r>
      <w:r w:rsidR="004C5F12">
        <w:tab/>
      </w:r>
      <w:r w:rsidR="004C5F12">
        <w:tab/>
      </w:r>
    </w:p>
    <w:p w14:paraId="5C026BCA" w14:textId="731EDE24" w:rsidR="00600242" w:rsidRDefault="00E14CC6" w:rsidP="00121E46">
      <w:r>
        <w:t>A</w:t>
      </w:r>
      <w:r w:rsidR="00900ECC">
        <w:t>llarg</w:t>
      </w:r>
      <w:r w:rsidR="00CC2C7B">
        <w:t>h</w:t>
      </w:r>
      <w:r w:rsidR="00900ECC">
        <w:t>iamo</w:t>
      </w:r>
      <w:r w:rsidR="00CC2C7B">
        <w:t xml:space="preserve"> la nostra</w:t>
      </w:r>
      <w:r>
        <w:t xml:space="preserve"> indagine e precisiamo subito che </w:t>
      </w:r>
      <w:r w:rsidR="00481111">
        <w:t>l’</w:t>
      </w:r>
      <w:r>
        <w:t>invasione</w:t>
      </w:r>
      <w:r w:rsidR="00655D48">
        <w:t xml:space="preserve"> di compagnie straniere in </w:t>
      </w:r>
      <w:proofErr w:type="gramStart"/>
      <w:r w:rsidR="00655D48">
        <w:t>Italia</w:t>
      </w:r>
      <w:r>
        <w:t xml:space="preserve"> </w:t>
      </w:r>
      <w:r w:rsidR="00904AFE">
        <w:t xml:space="preserve"> è</w:t>
      </w:r>
      <w:proofErr w:type="gramEnd"/>
      <w:r w:rsidR="00904AFE">
        <w:t xml:space="preserve"> stata generata grazie ai regolamenti comunitari </w:t>
      </w:r>
      <w:r w:rsidR="00B45732">
        <w:t>in base</w:t>
      </w:r>
      <w:r w:rsidR="00904AFE">
        <w:t xml:space="preserve"> </w:t>
      </w:r>
      <w:r w:rsidR="00B45732">
        <w:t>a</w:t>
      </w:r>
      <w:r w:rsidR="00904AFE">
        <w:t>i quali un vettore battente bandiera UE può liberamente operare all’interno di un altro paese UE.</w:t>
      </w:r>
      <w:r w:rsidR="006B77F3">
        <w:t xml:space="preserve"> Questo importante particolare spiega perché la Easyjet</w:t>
      </w:r>
      <w:r w:rsidR="00DC36FB">
        <w:t>,</w:t>
      </w:r>
      <w:r w:rsidR="006B77F3">
        <w:t xml:space="preserve"> allorch</w:t>
      </w:r>
      <w:r w:rsidR="00BC665F">
        <w:t>è</w:t>
      </w:r>
      <w:r w:rsidR="006B77F3">
        <w:t xml:space="preserve"> la Gran </w:t>
      </w:r>
      <w:r w:rsidR="00DC36FB">
        <w:t>B</w:t>
      </w:r>
      <w:r w:rsidR="006B77F3">
        <w:t>retagnia è uscita dalla UE</w:t>
      </w:r>
      <w:r w:rsidR="00A10AF3">
        <w:t>,</w:t>
      </w:r>
      <w:r w:rsidR="006B77F3">
        <w:t xml:space="preserve"> si è aff</w:t>
      </w:r>
      <w:r w:rsidR="006E443D">
        <w:t>r</w:t>
      </w:r>
      <w:r w:rsidR="006B77F3">
        <w:t>ettata ad aprire una filiale austriaca</w:t>
      </w:r>
      <w:r w:rsidR="001A1426">
        <w:t>, altrimenti non avrebbe potuto avvalersi delle clausole comunitarie.</w:t>
      </w:r>
      <w:r w:rsidR="00D81259">
        <w:t xml:space="preserve"> Infatti nelle tabelle Enac la Easyjet viene indicata come </w:t>
      </w:r>
      <w:r w:rsidR="00D81259" w:rsidRPr="00BC665F">
        <w:rPr>
          <w:i/>
          <w:iCs/>
        </w:rPr>
        <w:t>Easyjet</w:t>
      </w:r>
      <w:r w:rsidR="004467B9" w:rsidRPr="00BC665F">
        <w:rPr>
          <w:i/>
          <w:iCs/>
        </w:rPr>
        <w:t xml:space="preserve"> Europe Airline Gmbh (Austria)</w:t>
      </w:r>
      <w:r w:rsidR="00BC665F">
        <w:rPr>
          <w:i/>
          <w:iCs/>
        </w:rPr>
        <w:t>.</w:t>
      </w:r>
      <w:r w:rsidR="00536B59">
        <w:t xml:space="preserve"> </w:t>
      </w:r>
      <w:r w:rsidR="000C79E2">
        <w:t>In altre parole solo una compagnia</w:t>
      </w:r>
      <w:r w:rsidR="00A94AAE">
        <w:t xml:space="preserve"> battente una bandiera della Unione Europea</w:t>
      </w:r>
      <w:r w:rsidR="000C79E2">
        <w:t xml:space="preserve"> può svolgere questi servizi che stiamo </w:t>
      </w:r>
      <w:r w:rsidR="00A94AAE">
        <w:t>tratt</w:t>
      </w:r>
      <w:r w:rsidR="000C79E2">
        <w:t>ando ma, ad esempio</w:t>
      </w:r>
      <w:r w:rsidR="00A94AAE">
        <w:t>,</w:t>
      </w:r>
      <w:r w:rsidR="000C79E2">
        <w:t xml:space="preserve"> </w:t>
      </w:r>
      <w:proofErr w:type="gramStart"/>
      <w:r w:rsidR="000C79E2">
        <w:t>un compagnia</w:t>
      </w:r>
      <w:proofErr w:type="gramEnd"/>
      <w:r w:rsidR="000C79E2">
        <w:t xml:space="preserve"> </w:t>
      </w:r>
      <w:r w:rsidR="00A673F4">
        <w:t>asiatica</w:t>
      </w:r>
      <w:r w:rsidR="000C79E2">
        <w:t>, non verrebbe mai autorizzat</w:t>
      </w:r>
      <w:r w:rsidR="00A94AAE">
        <w:t>a</w:t>
      </w:r>
      <w:r w:rsidR="000C79E2">
        <w:t xml:space="preserve"> a a svolgerli.</w:t>
      </w:r>
      <w:r w:rsidR="00006E1E">
        <w:t xml:space="preserve"> </w:t>
      </w:r>
      <w:r w:rsidR="006E443D">
        <w:t xml:space="preserve"> </w:t>
      </w:r>
      <w:r w:rsidR="00006E1E">
        <w:t>Una ulteriore precisazione è necessaria</w:t>
      </w:r>
      <w:r w:rsidR="00CA4C48">
        <w:t>.</w:t>
      </w:r>
      <w:r w:rsidR="00457442">
        <w:t xml:space="preserve"> </w:t>
      </w:r>
      <w:r w:rsidR="00CA4C48">
        <w:t>I</w:t>
      </w:r>
      <w:r w:rsidR="00457442">
        <w:t xml:space="preserve"> regolamenti comunitari cui abbiamo accennato </w:t>
      </w:r>
      <w:proofErr w:type="gramStart"/>
      <w:r w:rsidR="00457442">
        <w:t xml:space="preserve">nascono </w:t>
      </w:r>
      <w:r w:rsidR="004024C8">
        <w:t xml:space="preserve"> con</w:t>
      </w:r>
      <w:proofErr w:type="gramEnd"/>
      <w:r w:rsidR="004024C8">
        <w:t xml:space="preserve"> l’intento d</w:t>
      </w:r>
      <w:r w:rsidR="009B60FD">
        <w:t>i favorire</w:t>
      </w:r>
      <w:r w:rsidR="00DB2327">
        <w:t xml:space="preserve"> </w:t>
      </w:r>
      <w:r w:rsidR="004024C8">
        <w:t>la reciprocità. Ovvero</w:t>
      </w:r>
      <w:r w:rsidR="00152469">
        <w:t>,</w:t>
      </w:r>
      <w:r w:rsidR="004024C8">
        <w:t xml:space="preserve"> </w:t>
      </w:r>
      <w:r w:rsidR="00152469">
        <w:t>la</w:t>
      </w:r>
      <w:r w:rsidR="00CA4C48">
        <w:t xml:space="preserve"> </w:t>
      </w:r>
      <w:r w:rsidR="004024C8">
        <w:t>compagnia straniera pu</w:t>
      </w:r>
      <w:r w:rsidR="00152469">
        <w:t>ò</w:t>
      </w:r>
      <w:r w:rsidR="004024C8">
        <w:t xml:space="preserve"> svolgere servizi domestici </w:t>
      </w:r>
      <w:r w:rsidR="007A5C9F">
        <w:t>nella mia nazione</w:t>
      </w:r>
      <w:r w:rsidR="00607E2D">
        <w:t xml:space="preserve"> e il</w:t>
      </w:r>
      <w:r w:rsidR="005C798B">
        <w:t xml:space="preserve"> vettore italiano</w:t>
      </w:r>
      <w:r w:rsidR="00B50529">
        <w:t>,</w:t>
      </w:r>
      <w:r w:rsidR="005C798B">
        <w:t xml:space="preserve"> p</w:t>
      </w:r>
      <w:r w:rsidR="00607E2D">
        <w:t>uò</w:t>
      </w:r>
      <w:r w:rsidR="005C798B">
        <w:t xml:space="preserve"> fare altrettanto </w:t>
      </w:r>
      <w:r w:rsidR="00250531">
        <w:t xml:space="preserve">in </w:t>
      </w:r>
      <w:r w:rsidR="005C798B">
        <w:t xml:space="preserve">casa </w:t>
      </w:r>
      <w:r w:rsidR="00250531">
        <w:t>altrui</w:t>
      </w:r>
      <w:r w:rsidR="005C798B">
        <w:t xml:space="preserve">. </w:t>
      </w:r>
      <w:r w:rsidR="003D21B7">
        <w:t>Ma avete mai sentito parlare di una compagnia italiana che ha operato all’interno dell’Irlanda, o della Spagna, o della Francia ecc.?</w:t>
      </w:r>
      <w:r w:rsidR="00972E47">
        <w:t xml:space="preserve"> La risposta è assolutamente negativa.</w:t>
      </w:r>
      <w:r w:rsidR="00BA1F66">
        <w:t xml:space="preserve"> L’Italia fra l’altro non ha visto mai nascere una </w:t>
      </w:r>
      <w:r w:rsidR="00AD4AA1">
        <w:t xml:space="preserve">genuina </w:t>
      </w:r>
      <w:r w:rsidR="00BA1F66">
        <w:t>compagnia low cost</w:t>
      </w:r>
      <w:r w:rsidR="00466C94">
        <w:t xml:space="preserve"> nostrana, </w:t>
      </w:r>
      <w:r w:rsidR="00104431">
        <w:t xml:space="preserve">né l’Alitalia nel corso degli anni è </w:t>
      </w:r>
      <w:proofErr w:type="gramStart"/>
      <w:r w:rsidR="00104431">
        <w:t xml:space="preserve">riuscita </w:t>
      </w:r>
      <w:r w:rsidR="00222062">
        <w:t xml:space="preserve"> a</w:t>
      </w:r>
      <w:proofErr w:type="gramEnd"/>
      <w:r w:rsidR="00222062">
        <w:t xml:space="preserve"> fondare una sussidiaria low cost. Sarà il caso di ricordare, ad esempio, come l’Iberia ha una consolidata partecipazione azionaria</w:t>
      </w:r>
      <w:r w:rsidR="00333160">
        <w:t xml:space="preserve"> </w:t>
      </w:r>
      <w:r w:rsidR="00333160" w:rsidRPr="00333160">
        <w:rPr>
          <w:color w:val="FF0000"/>
          <w:sz w:val="18"/>
          <w:szCs w:val="18"/>
        </w:rPr>
        <w:t>(6)</w:t>
      </w:r>
      <w:r w:rsidR="00222062" w:rsidRPr="00333160">
        <w:rPr>
          <w:color w:val="FF0000"/>
        </w:rPr>
        <w:t xml:space="preserve"> </w:t>
      </w:r>
      <w:r w:rsidR="00222062">
        <w:t xml:space="preserve">della compagnia </w:t>
      </w:r>
      <w:r w:rsidR="00333160">
        <w:t>low cost Vueling</w:t>
      </w:r>
      <w:r w:rsidR="001A425B">
        <w:t xml:space="preserve"> che nel 2019 ha trasportato più di 34 milioni di passeggeri</w:t>
      </w:r>
      <w:r w:rsidR="006A21AF">
        <w:t>.</w:t>
      </w:r>
      <w:r w:rsidR="008578A1">
        <w:t xml:space="preserve"> </w:t>
      </w:r>
      <w:r w:rsidR="006A21AF">
        <w:t>C</w:t>
      </w:r>
      <w:r w:rsidR="008578A1">
        <w:t>omunque ci si rigiri siamo messi</w:t>
      </w:r>
      <w:r w:rsidR="006A21AF">
        <w:t xml:space="preserve"> davvero</w:t>
      </w:r>
      <w:r w:rsidR="008578A1">
        <w:t xml:space="preserve"> male.</w:t>
      </w:r>
    </w:p>
    <w:p w14:paraId="4C69E812" w14:textId="1F94624B" w:rsidR="008F7601" w:rsidRDefault="008F7601" w:rsidP="00121E46">
      <w:r>
        <w:t>Il sorpasso</w:t>
      </w:r>
      <w:r w:rsidR="008320A4">
        <w:t xml:space="preserve"> da </w:t>
      </w:r>
      <w:proofErr w:type="gramStart"/>
      <w:r w:rsidR="008320A4">
        <w:t xml:space="preserve">parte </w:t>
      </w:r>
      <w:r>
        <w:t xml:space="preserve"> delle</w:t>
      </w:r>
      <w:proofErr w:type="gramEnd"/>
      <w:r>
        <w:t xml:space="preserve"> </w:t>
      </w:r>
      <w:r w:rsidR="000015EA">
        <w:t>compagnie straniere rispetto a quanto trasporta il vettore nazionale</w:t>
      </w:r>
      <w:r w:rsidR="008320A4">
        <w:t xml:space="preserve"> non è stato mai oggetto di dibattiti e riflessioni. Eppure data la straordinarietà</w:t>
      </w:r>
      <w:r w:rsidR="00B86E2D">
        <w:t xml:space="preserve"> dell’evento lo </w:t>
      </w:r>
      <w:r w:rsidR="00B5167B">
        <w:t>avrebbe dovuto</w:t>
      </w:r>
      <w:r w:rsidR="00B86E2D">
        <w:t xml:space="preserve"> essere. In Germania le compagnie low cost</w:t>
      </w:r>
      <w:r w:rsidR="00230E80">
        <w:t>, in termini di numero passeggeri,</w:t>
      </w:r>
      <w:r w:rsidR="00B86E2D">
        <w:t xml:space="preserve"> non hanno superato </w:t>
      </w:r>
      <w:r w:rsidR="00230E80">
        <w:t>la Lufthansa. Stessa cosa si può dire per la Francia</w:t>
      </w:r>
      <w:r w:rsidR="006A31A0">
        <w:t xml:space="preserve"> e per il Regni Unito. Perché l’Italia che </w:t>
      </w:r>
      <w:r w:rsidR="00A410FB">
        <w:t>vant</w:t>
      </w:r>
      <w:r w:rsidR="006A31A0">
        <w:t>a uno dei principali bacini di traffico aereo</w:t>
      </w:r>
      <w:r w:rsidR="006B677E">
        <w:t xml:space="preserve">, </w:t>
      </w:r>
      <w:r w:rsidR="00A410FB">
        <w:t>ha visto</w:t>
      </w:r>
      <w:r w:rsidR="004C0480">
        <w:t xml:space="preserve"> addirittura</w:t>
      </w:r>
      <w:r w:rsidR="00A410FB">
        <w:t xml:space="preserve"> scomparire </w:t>
      </w:r>
      <w:r w:rsidR="006B677E">
        <w:t>i vettori nazionali</w:t>
      </w:r>
      <w:r w:rsidR="00706438">
        <w:t>, siano essi tradizionali e low cost,</w:t>
      </w:r>
      <w:r w:rsidR="006B677E">
        <w:t xml:space="preserve"> letteralmente surclassati da vettori stranieri in particolare</w:t>
      </w:r>
      <w:r w:rsidR="00C865AF">
        <w:t xml:space="preserve"> dalle</w:t>
      </w:r>
      <w:r w:rsidR="006B677E">
        <w:t xml:space="preserve"> low cost?</w:t>
      </w:r>
      <w:r w:rsidR="00387928">
        <w:t xml:space="preserve"> </w:t>
      </w:r>
      <w:r w:rsidR="00BE016F">
        <w:t>I tanti che nel corso degli anni per spiegare la debacle di Alitalia hanno sempre addossato</w:t>
      </w:r>
      <w:r w:rsidR="002F6C58">
        <w:t xml:space="preserve"> la colpa</w:t>
      </w:r>
      <w:r w:rsidR="00BE016F">
        <w:t xml:space="preserve"> </w:t>
      </w:r>
      <w:r w:rsidR="002F6C58">
        <w:t xml:space="preserve">alle low cost, dovrebbero riflettere sul particolare che questa tipologia di </w:t>
      </w:r>
      <w:proofErr w:type="gramStart"/>
      <w:r w:rsidR="002F6C58">
        <w:t xml:space="preserve">aerolinee </w:t>
      </w:r>
      <w:r w:rsidR="002A1383">
        <w:t xml:space="preserve"> è</w:t>
      </w:r>
      <w:proofErr w:type="gramEnd"/>
      <w:r w:rsidR="002A1383">
        <w:t xml:space="preserve"> presente in ogni Paese</w:t>
      </w:r>
      <w:r w:rsidR="00F653C9">
        <w:t>, non solo in I</w:t>
      </w:r>
      <w:r w:rsidR="00032A4A">
        <w:t>t</w:t>
      </w:r>
      <w:r w:rsidR="00F653C9">
        <w:t>alia.</w:t>
      </w:r>
      <w:r w:rsidR="002F6C58">
        <w:t xml:space="preserve"> </w:t>
      </w:r>
    </w:p>
    <w:p w14:paraId="0759BDDA" w14:textId="2FD0DB43" w:rsidR="00C575FE" w:rsidRPr="00032A4A" w:rsidRDefault="00BC2DEC" w:rsidP="00121E46">
      <w:pPr>
        <w:rPr>
          <w:b/>
          <w:bCs/>
        </w:rPr>
      </w:pPr>
      <w:r>
        <w:t xml:space="preserve">La risposta è semplice </w:t>
      </w:r>
      <w:r w:rsidR="00C46573">
        <w:t>ma</w:t>
      </w:r>
      <w:r>
        <w:t xml:space="preserve"> </w:t>
      </w:r>
      <w:r w:rsidR="001B38D4">
        <w:t xml:space="preserve">non rassicurante </w:t>
      </w:r>
      <w:r>
        <w:t>lo stesso tempo.</w:t>
      </w:r>
      <w:r w:rsidR="00B74F9D">
        <w:t xml:space="preserve"> Il comparto del trasporto aereo commerciale ha una peculiarità che lo rende unico </w:t>
      </w:r>
      <w:r w:rsidR="005E5047">
        <w:t xml:space="preserve">fra i settori commerciali: </w:t>
      </w:r>
      <w:r w:rsidR="005E5047" w:rsidRPr="00032A4A">
        <w:rPr>
          <w:b/>
          <w:bCs/>
        </w:rPr>
        <w:t>una compagnia aerea straniera può istituire servizi</w:t>
      </w:r>
      <w:r w:rsidR="00901E31" w:rsidRPr="00032A4A">
        <w:rPr>
          <w:b/>
          <w:bCs/>
        </w:rPr>
        <w:t xml:space="preserve"> in un altro Paese pur mante</w:t>
      </w:r>
      <w:r w:rsidR="00341286">
        <w:rPr>
          <w:b/>
          <w:bCs/>
        </w:rPr>
        <w:t>ne</w:t>
      </w:r>
      <w:r w:rsidR="00901E31" w:rsidRPr="00032A4A">
        <w:rPr>
          <w:b/>
          <w:bCs/>
        </w:rPr>
        <w:t xml:space="preserve">ndo i costi delle operazioni e del personale </w:t>
      </w:r>
      <w:r w:rsidR="00DB2835" w:rsidRPr="00032A4A">
        <w:rPr>
          <w:b/>
          <w:bCs/>
        </w:rPr>
        <w:t xml:space="preserve">in base alle regole vigenti nel suo </w:t>
      </w:r>
      <w:proofErr w:type="gramStart"/>
      <w:r w:rsidR="00DB2835" w:rsidRPr="00032A4A">
        <w:rPr>
          <w:b/>
          <w:bCs/>
        </w:rPr>
        <w:t>paese  di</w:t>
      </w:r>
      <w:proofErr w:type="gramEnd"/>
      <w:r w:rsidR="00DB2835" w:rsidRPr="00032A4A">
        <w:rPr>
          <w:b/>
          <w:bCs/>
        </w:rPr>
        <w:t xml:space="preserve"> origine.</w:t>
      </w:r>
    </w:p>
    <w:p w14:paraId="3EFF4633" w14:textId="77777777" w:rsidR="00CB58E8" w:rsidRDefault="008A5633" w:rsidP="00ED57EC">
      <w:r>
        <w:t>Spieghiamoci meglio.</w:t>
      </w:r>
      <w:r w:rsidR="00BA33CB">
        <w:t xml:space="preserve"> Se una industria di mobili</w:t>
      </w:r>
      <w:r w:rsidR="005510C2">
        <w:t>, automobili, frigorifer</w:t>
      </w:r>
      <w:r w:rsidR="001F63EC">
        <w:t>i</w:t>
      </w:r>
      <w:r w:rsidR="005510C2">
        <w:t xml:space="preserve">, </w:t>
      </w:r>
      <w:proofErr w:type="gramStart"/>
      <w:r w:rsidR="005510C2">
        <w:t>televisori….</w:t>
      </w:r>
      <w:proofErr w:type="gramEnd"/>
      <w:r w:rsidR="005510C2">
        <w:t xml:space="preserve">viene in Italia e vi fissa </w:t>
      </w:r>
      <w:r w:rsidR="009C2D4B">
        <w:t>uno stabilimento di produzione</w:t>
      </w:r>
      <w:r w:rsidR="005510C2">
        <w:t>, quest’ultim</w:t>
      </w:r>
      <w:r w:rsidR="005C3AA5">
        <w:t>o</w:t>
      </w:r>
      <w:r w:rsidR="005510C2">
        <w:t xml:space="preserve"> e tutti i suoi dipendenti che vi lavorano saranno soggetti </w:t>
      </w:r>
      <w:r w:rsidR="00C575FE">
        <w:t>a remunerazioni, costi sociali e fiscali uguali a quell</w:t>
      </w:r>
      <w:r w:rsidR="0020516E">
        <w:t>i</w:t>
      </w:r>
      <w:r w:rsidR="00C575FE">
        <w:t xml:space="preserve"> di una azienda italiana.</w:t>
      </w:r>
      <w:r w:rsidR="001F63EC">
        <w:t xml:space="preserve"> </w:t>
      </w:r>
      <w:r w:rsidR="00FD42DF">
        <w:t>Ma se una compagnia aerea straniera opera voli domestici da noi e poi a fine giornata riesce a far tornare aereo ed equipaggio al</w:t>
      </w:r>
      <w:r w:rsidR="002E608F">
        <w:t xml:space="preserve">la sua </w:t>
      </w:r>
      <w:r w:rsidR="002E608F">
        <w:lastRenderedPageBreak/>
        <w:t>base di armamento all’estero</w:t>
      </w:r>
      <w:r w:rsidR="00043DEF">
        <w:t xml:space="preserve">, questa compagnia </w:t>
      </w:r>
      <w:r w:rsidR="001A1A23">
        <w:t xml:space="preserve">potrà </w:t>
      </w:r>
      <w:r w:rsidR="009E5048">
        <w:t>generare</w:t>
      </w:r>
      <w:r w:rsidR="0020516E">
        <w:t xml:space="preserve"> in </w:t>
      </w:r>
      <w:proofErr w:type="gramStart"/>
      <w:r w:rsidR="0020516E">
        <w:t xml:space="preserve">Italia </w:t>
      </w:r>
      <w:r w:rsidR="009E5048">
        <w:t xml:space="preserve"> una</w:t>
      </w:r>
      <w:proofErr w:type="gramEnd"/>
      <w:r w:rsidR="009E5048">
        <w:t xml:space="preserve"> sua produzione </w:t>
      </w:r>
      <w:r w:rsidR="002D3236">
        <w:t>ma ciò verrà fatto</w:t>
      </w:r>
      <w:r w:rsidR="00AC2212">
        <w:t xml:space="preserve"> in base a</w:t>
      </w:r>
      <w:r w:rsidR="00443A40">
        <w:t xml:space="preserve"> gravami fiscal</w:t>
      </w:r>
      <w:r w:rsidR="00826836">
        <w:t>i</w:t>
      </w:r>
      <w:r w:rsidR="005C65D4">
        <w:t>/previdenziali/operativi vigenti nel suo paese di origine.</w:t>
      </w:r>
      <w:r w:rsidR="00D62BA5">
        <w:t xml:space="preserve"> </w:t>
      </w:r>
    </w:p>
    <w:p w14:paraId="0EDADBFD" w14:textId="0905A1F0" w:rsidR="00600242" w:rsidRDefault="007D365F" w:rsidP="00ED57EC">
      <w:r>
        <w:t>Va sottolineato</w:t>
      </w:r>
      <w:r w:rsidR="00E83D2C">
        <w:t xml:space="preserve"> che</w:t>
      </w:r>
      <w:r w:rsidR="00D62BA5">
        <w:t xml:space="preserve"> fino all’</w:t>
      </w:r>
      <w:r w:rsidR="00BB163C">
        <w:t>avv</w:t>
      </w:r>
      <w:r w:rsidR="00E83D2C">
        <w:t>ento</w:t>
      </w:r>
      <w:r w:rsidR="00D62BA5">
        <w:t xml:space="preserve"> di Internet </w:t>
      </w:r>
      <w:r w:rsidR="00E83D2C">
        <w:t>l</w:t>
      </w:r>
      <w:r w:rsidR="00D62BA5">
        <w:t xml:space="preserve">a compagnia aerea </w:t>
      </w:r>
      <w:r w:rsidR="004F3865">
        <w:t>ch</w:t>
      </w:r>
      <w:r w:rsidR="00D62BA5">
        <w:t>e voleva operare in Italia doveva aprire</w:t>
      </w:r>
      <w:r w:rsidR="00B91F75">
        <w:t xml:space="preserve"> </w:t>
      </w:r>
      <w:r w:rsidR="00CB58E8">
        <w:t>rappresentanze</w:t>
      </w:r>
      <w:r w:rsidR="00B91F75">
        <w:t xml:space="preserve"> </w:t>
      </w:r>
      <w:r w:rsidR="00C64C03">
        <w:t>locali</w:t>
      </w:r>
      <w:r w:rsidR="00B91F75">
        <w:t xml:space="preserve"> con tanto di assunzion</w:t>
      </w:r>
      <w:r w:rsidR="00C64C03">
        <w:t>e</w:t>
      </w:r>
      <w:r w:rsidR="00B91F75">
        <w:t xml:space="preserve"> di personale in città e in aeroporto</w:t>
      </w:r>
      <w:r w:rsidR="004F3865">
        <w:t>;</w:t>
      </w:r>
      <w:r w:rsidR="00B91F75">
        <w:t xml:space="preserve"> da quando </w:t>
      </w:r>
      <w:r w:rsidR="00B86737">
        <w:t>I</w:t>
      </w:r>
      <w:r w:rsidR="00B91F75">
        <w:t xml:space="preserve">nternet ha preso il </w:t>
      </w:r>
      <w:proofErr w:type="gramStart"/>
      <w:r w:rsidR="00B91F75">
        <w:t xml:space="preserve">via </w:t>
      </w:r>
      <w:r w:rsidR="00ED57EC">
        <w:t xml:space="preserve"> tutto</w:t>
      </w:r>
      <w:proofErr w:type="gramEnd"/>
      <w:r w:rsidR="00ED57EC">
        <w:t xml:space="preserve"> ciò è</w:t>
      </w:r>
      <w:r w:rsidR="004F3865">
        <w:t xml:space="preserve"> divenuto superfluo</w:t>
      </w:r>
      <w:r w:rsidR="007F5468">
        <w:t xml:space="preserve"> quindi evitabile</w:t>
      </w:r>
      <w:r w:rsidR="00ED57EC">
        <w:t>.</w:t>
      </w:r>
      <w:r w:rsidR="007F5468">
        <w:t xml:space="preserve"> Per </w:t>
      </w:r>
      <w:r w:rsidR="00411980">
        <w:t>evitare</w:t>
      </w:r>
      <w:r w:rsidR="007F5468">
        <w:t xml:space="preserve"> comunque che un vettore</w:t>
      </w:r>
      <w:r w:rsidR="009F78E6">
        <w:t xml:space="preserve"> aereo </w:t>
      </w:r>
      <w:r w:rsidR="00411980">
        <w:t>produca</w:t>
      </w:r>
      <w:r w:rsidR="009F78E6">
        <w:t xml:space="preserve"> fatturato in Italia, senza dover assumere alcun dipendente e senza pagare</w:t>
      </w:r>
      <w:r w:rsidR="008723CD">
        <w:t xml:space="preserve"> tasse e contributi</w:t>
      </w:r>
      <w:r w:rsidR="003D53D6">
        <w:t xml:space="preserve"> locali</w:t>
      </w:r>
      <w:r w:rsidR="008723CD">
        <w:t xml:space="preserve"> si è ricorsi</w:t>
      </w:r>
      <w:r w:rsidR="00745DE9">
        <w:t xml:space="preserve"> a</w:t>
      </w:r>
      <w:r w:rsidR="003D53D6">
        <w:t xml:space="preserve">d una normativa che ha </w:t>
      </w:r>
      <w:r w:rsidR="00D312E2">
        <w:t>precis</w:t>
      </w:r>
      <w:r w:rsidR="003D53D6">
        <w:t>ato cosa si debba intendere per “base”</w:t>
      </w:r>
      <w:r w:rsidR="00745DE9">
        <w:t>.</w:t>
      </w:r>
    </w:p>
    <w:p w14:paraId="2E6F1235" w14:textId="77777777" w:rsidR="00745DE9" w:rsidRDefault="00745DE9" w:rsidP="00ED57EC"/>
    <w:p w14:paraId="691A496B" w14:textId="0C1435B4" w:rsidR="00600242" w:rsidRDefault="00E3785B" w:rsidP="00600242">
      <w:pPr>
        <w:rPr>
          <w:b/>
          <w:bCs/>
          <w:i/>
          <w:iCs/>
          <w:u w:val="single"/>
        </w:rPr>
      </w:pPr>
      <w:r w:rsidRPr="00E3785B">
        <w:rPr>
          <w:b/>
          <w:bCs/>
          <w:i/>
          <w:iCs/>
          <w:u w:val="single"/>
        </w:rPr>
        <w:t>Il concetto di “base”</w:t>
      </w:r>
    </w:p>
    <w:p w14:paraId="562F1D36" w14:textId="77777777" w:rsidR="00ED57EC" w:rsidRDefault="00ED57EC" w:rsidP="00600242">
      <w:pPr>
        <w:rPr>
          <w:rFonts w:cstheme="minorHAnsi"/>
          <w:color w:val="555555"/>
          <w:shd w:val="clear" w:color="auto" w:fill="FFFFFF"/>
        </w:rPr>
      </w:pPr>
    </w:p>
    <w:p w14:paraId="5EC2DBF8" w14:textId="67E8DA8C" w:rsidR="008236DE" w:rsidRPr="00411980" w:rsidRDefault="00AC24E7" w:rsidP="00600242">
      <w:pPr>
        <w:rPr>
          <w:rFonts w:cstheme="minorHAnsi"/>
          <w:u w:val="single"/>
          <w:shd w:val="clear" w:color="auto" w:fill="FFFFFF"/>
        </w:rPr>
      </w:pPr>
      <w:r>
        <w:rPr>
          <w:rFonts w:cstheme="minorHAnsi"/>
          <w:shd w:val="clear" w:color="auto" w:fill="FFFFFF"/>
        </w:rPr>
        <w:t xml:space="preserve"> A prima vista la distinzione è evidente</w:t>
      </w:r>
      <w:r w:rsidR="00F4492F">
        <w:rPr>
          <w:rFonts w:cstheme="minorHAnsi"/>
          <w:shd w:val="clear" w:color="auto" w:fill="FFFFFF"/>
        </w:rPr>
        <w:t xml:space="preserve">. </w:t>
      </w:r>
      <w:r w:rsidR="004429E7">
        <w:rPr>
          <w:rFonts w:cstheme="minorHAnsi"/>
          <w:shd w:val="clear" w:color="auto" w:fill="FFFFFF"/>
        </w:rPr>
        <w:t>Se un velivolo</w:t>
      </w:r>
      <w:r w:rsidR="00DC626E">
        <w:rPr>
          <w:rFonts w:cstheme="minorHAnsi"/>
          <w:shd w:val="clear" w:color="auto" w:fill="FFFFFF"/>
        </w:rPr>
        <w:t xml:space="preserve"> battente bandiera estera</w:t>
      </w:r>
      <w:r w:rsidR="004429E7">
        <w:rPr>
          <w:rFonts w:cstheme="minorHAnsi"/>
          <w:shd w:val="clear" w:color="auto" w:fill="FFFFFF"/>
        </w:rPr>
        <w:t xml:space="preserve"> arriva in Italia</w:t>
      </w:r>
      <w:r w:rsidR="00DC626E">
        <w:rPr>
          <w:rFonts w:cstheme="minorHAnsi"/>
          <w:shd w:val="clear" w:color="auto" w:fill="FFFFFF"/>
        </w:rPr>
        <w:t xml:space="preserve"> e da qui riparte</w:t>
      </w:r>
      <w:r w:rsidR="00D312E2">
        <w:rPr>
          <w:rFonts w:cstheme="minorHAnsi"/>
          <w:shd w:val="clear" w:color="auto" w:fill="FFFFFF"/>
        </w:rPr>
        <w:t xml:space="preserve"> dopo</w:t>
      </w:r>
      <w:r w:rsidR="00733062">
        <w:rPr>
          <w:rFonts w:cstheme="minorHAnsi"/>
          <w:shd w:val="clear" w:color="auto" w:fill="FFFFFF"/>
        </w:rPr>
        <w:t xml:space="preserve"> breve sosta</w:t>
      </w:r>
      <w:r w:rsidR="00DC626E">
        <w:rPr>
          <w:rFonts w:cstheme="minorHAnsi"/>
          <w:shd w:val="clear" w:color="auto" w:fill="FFFFFF"/>
        </w:rPr>
        <w:t xml:space="preserve"> per tor</w:t>
      </w:r>
      <w:r w:rsidR="00F5189C">
        <w:rPr>
          <w:rFonts w:cstheme="minorHAnsi"/>
          <w:shd w:val="clear" w:color="auto" w:fill="FFFFFF"/>
        </w:rPr>
        <w:t>n</w:t>
      </w:r>
      <w:r w:rsidR="00DC626E">
        <w:rPr>
          <w:rFonts w:cstheme="minorHAnsi"/>
          <w:shd w:val="clear" w:color="auto" w:fill="FFFFFF"/>
        </w:rPr>
        <w:t>are al suo paese di origine</w:t>
      </w:r>
      <w:r w:rsidR="00893E10">
        <w:rPr>
          <w:rFonts w:cstheme="minorHAnsi"/>
          <w:shd w:val="clear" w:color="auto" w:fill="FFFFFF"/>
        </w:rPr>
        <w:t xml:space="preserve"> ovviamente non </w:t>
      </w:r>
      <w:r w:rsidR="00F11592">
        <w:rPr>
          <w:rFonts w:cstheme="minorHAnsi"/>
          <w:shd w:val="clear" w:color="auto" w:fill="FFFFFF"/>
        </w:rPr>
        <w:t>si può</w:t>
      </w:r>
      <w:r w:rsidR="00893E10">
        <w:rPr>
          <w:rFonts w:cstheme="minorHAnsi"/>
          <w:shd w:val="clear" w:color="auto" w:fill="FFFFFF"/>
        </w:rPr>
        <w:t xml:space="preserve"> dire che la compagnia ha stabilito in Italia una “base”. </w:t>
      </w:r>
      <w:r w:rsidR="00685488">
        <w:rPr>
          <w:rFonts w:cstheme="minorHAnsi"/>
          <w:shd w:val="clear" w:color="auto" w:fill="FFFFFF"/>
        </w:rPr>
        <w:t xml:space="preserve"> Viceversa </w:t>
      </w:r>
      <w:r w:rsidR="00685488" w:rsidRPr="00411980">
        <w:rPr>
          <w:rFonts w:cstheme="minorHAnsi"/>
          <w:u w:val="single"/>
          <w:shd w:val="clear" w:color="auto" w:fill="FFFFFF"/>
        </w:rPr>
        <w:t xml:space="preserve">se un vettore estero </w:t>
      </w:r>
      <w:r w:rsidR="006247CF">
        <w:rPr>
          <w:rFonts w:cstheme="minorHAnsi"/>
          <w:u w:val="single"/>
          <w:shd w:val="clear" w:color="auto" w:fill="FFFFFF"/>
        </w:rPr>
        <w:t>fissa</w:t>
      </w:r>
      <w:r w:rsidR="00685488" w:rsidRPr="00411980">
        <w:rPr>
          <w:rFonts w:cstheme="minorHAnsi"/>
          <w:u w:val="single"/>
          <w:shd w:val="clear" w:color="auto" w:fill="FFFFFF"/>
        </w:rPr>
        <w:t xml:space="preserve"> su un aeroporto italiano</w:t>
      </w:r>
      <w:r w:rsidR="00F95926" w:rsidRPr="00411980">
        <w:rPr>
          <w:rFonts w:cstheme="minorHAnsi"/>
          <w:u w:val="single"/>
          <w:shd w:val="clear" w:color="auto" w:fill="FFFFFF"/>
        </w:rPr>
        <w:t xml:space="preserve"> una decina di aerei con i quali </w:t>
      </w:r>
      <w:proofErr w:type="gramStart"/>
      <w:r w:rsidR="00F95926" w:rsidRPr="00411980">
        <w:rPr>
          <w:rFonts w:cstheme="minorHAnsi"/>
          <w:u w:val="single"/>
          <w:shd w:val="clear" w:color="auto" w:fill="FFFFFF"/>
        </w:rPr>
        <w:t>attiva collegamenti domestici</w:t>
      </w:r>
      <w:proofErr w:type="gramEnd"/>
      <w:r w:rsidR="00F95926" w:rsidRPr="00411980">
        <w:rPr>
          <w:rFonts w:cstheme="minorHAnsi"/>
          <w:u w:val="single"/>
          <w:shd w:val="clear" w:color="auto" w:fill="FFFFFF"/>
        </w:rPr>
        <w:t xml:space="preserve"> all’interno del no</w:t>
      </w:r>
      <w:r w:rsidR="002B607C">
        <w:rPr>
          <w:rFonts w:cstheme="minorHAnsi"/>
          <w:u w:val="single"/>
          <w:shd w:val="clear" w:color="auto" w:fill="FFFFFF"/>
        </w:rPr>
        <w:t>s</w:t>
      </w:r>
      <w:r w:rsidR="00F95926" w:rsidRPr="00411980">
        <w:rPr>
          <w:rFonts w:cstheme="minorHAnsi"/>
          <w:u w:val="single"/>
          <w:shd w:val="clear" w:color="auto" w:fill="FFFFFF"/>
        </w:rPr>
        <w:t>tro Paese</w:t>
      </w:r>
      <w:r w:rsidR="009369EB" w:rsidRPr="00411980">
        <w:rPr>
          <w:rFonts w:cstheme="minorHAnsi"/>
          <w:u w:val="single"/>
          <w:shd w:val="clear" w:color="auto" w:fill="FFFFFF"/>
        </w:rPr>
        <w:t>, in questo caso siamo in presenza di una “base”.</w:t>
      </w:r>
      <w:r w:rsidR="004429E7" w:rsidRPr="00411980">
        <w:rPr>
          <w:rFonts w:cstheme="minorHAnsi"/>
          <w:u w:val="single"/>
          <w:shd w:val="clear" w:color="auto" w:fill="FFFFFF"/>
        </w:rPr>
        <w:t xml:space="preserve"> </w:t>
      </w:r>
    </w:p>
    <w:p w14:paraId="2CD81503" w14:textId="36AD93BD" w:rsidR="00514E79" w:rsidRPr="008777AB" w:rsidRDefault="008236DE" w:rsidP="00600242">
      <w:pPr>
        <w:rPr>
          <w:rFonts w:cstheme="minorHAnsi"/>
          <w:shd w:val="clear" w:color="auto" w:fill="FFFFFF"/>
        </w:rPr>
      </w:pPr>
      <w:r>
        <w:rPr>
          <w:rFonts w:cstheme="minorHAnsi"/>
          <w:shd w:val="clear" w:color="auto" w:fill="FFFFFF"/>
        </w:rPr>
        <w:t>F</w:t>
      </w:r>
      <w:r w:rsidR="00ED57EC" w:rsidRPr="008777AB">
        <w:rPr>
          <w:rFonts w:cstheme="minorHAnsi"/>
          <w:shd w:val="clear" w:color="auto" w:fill="FFFFFF"/>
        </w:rPr>
        <w:t>u proprio</w:t>
      </w:r>
      <w:r>
        <w:rPr>
          <w:rFonts w:cstheme="minorHAnsi"/>
          <w:shd w:val="clear" w:color="auto" w:fill="FFFFFF"/>
        </w:rPr>
        <w:t xml:space="preserve"> tenendo conto di tali fattori</w:t>
      </w:r>
      <w:r w:rsidR="00762330">
        <w:rPr>
          <w:rFonts w:cstheme="minorHAnsi"/>
          <w:shd w:val="clear" w:color="auto" w:fill="FFFFFF"/>
        </w:rPr>
        <w:t xml:space="preserve"> </w:t>
      </w:r>
      <w:r w:rsidR="000E5C0C" w:rsidRPr="008777AB">
        <w:rPr>
          <w:rFonts w:cstheme="minorHAnsi"/>
          <w:shd w:val="clear" w:color="auto" w:fill="FFFFFF"/>
        </w:rPr>
        <w:t>che i</w:t>
      </w:r>
      <w:r w:rsidR="00D43597" w:rsidRPr="008777AB">
        <w:rPr>
          <w:rFonts w:cstheme="minorHAnsi"/>
          <w:shd w:val="clear" w:color="auto" w:fill="FFFFFF"/>
        </w:rPr>
        <w:t>l </w:t>
      </w:r>
      <w:r w:rsidR="00D43597" w:rsidRPr="008777AB">
        <w:rPr>
          <w:rStyle w:val="Enfasigrassetto"/>
          <w:rFonts w:cstheme="minorHAnsi"/>
          <w:b w:val="0"/>
          <w:bCs w:val="0"/>
          <w:bdr w:val="none" w:sz="0" w:space="0" w:color="auto" w:frame="1"/>
          <w:shd w:val="clear" w:color="auto" w:fill="FFFFFF"/>
        </w:rPr>
        <w:t>Governo Monti</w:t>
      </w:r>
      <w:r w:rsidR="00574754" w:rsidRPr="008777AB">
        <w:rPr>
          <w:rFonts w:cstheme="minorHAnsi"/>
          <w:shd w:val="clear" w:color="auto" w:fill="FFFFFF"/>
        </w:rPr>
        <w:t xml:space="preserve"> </w:t>
      </w:r>
      <w:r w:rsidR="00E451BE" w:rsidRPr="008777AB">
        <w:rPr>
          <w:rFonts w:cstheme="minorHAnsi"/>
          <w:shd w:val="clear" w:color="auto" w:fill="FFFFFF"/>
        </w:rPr>
        <w:t>emanò in data 20 ottobre 2012</w:t>
      </w:r>
      <w:r w:rsidR="00D43597" w:rsidRPr="008777AB">
        <w:rPr>
          <w:rFonts w:cstheme="minorHAnsi"/>
          <w:shd w:val="clear" w:color="auto" w:fill="FFFFFF"/>
        </w:rPr>
        <w:t xml:space="preserve"> il </w:t>
      </w:r>
      <w:r w:rsidR="00D43597" w:rsidRPr="008777AB">
        <w:rPr>
          <w:rStyle w:val="Enfasigrassetto"/>
          <w:rFonts w:cstheme="minorHAnsi"/>
          <w:b w:val="0"/>
          <w:bCs w:val="0"/>
          <w:bdr w:val="none" w:sz="0" w:space="0" w:color="auto" w:frame="1"/>
          <w:shd w:val="clear" w:color="auto" w:fill="FFFFFF"/>
        </w:rPr>
        <w:t>decreto legge 179/2012</w:t>
      </w:r>
      <w:r w:rsidR="00F215C7" w:rsidRPr="008777AB">
        <w:rPr>
          <w:rStyle w:val="Enfasigrassetto"/>
          <w:rFonts w:cstheme="minorHAnsi"/>
          <w:b w:val="0"/>
          <w:bCs w:val="0"/>
          <w:bdr w:val="none" w:sz="0" w:space="0" w:color="auto" w:frame="1"/>
          <w:shd w:val="clear" w:color="auto" w:fill="FFFFFF"/>
        </w:rPr>
        <w:t xml:space="preserve"> (art</w:t>
      </w:r>
      <w:r w:rsidR="00E70778" w:rsidRPr="008777AB">
        <w:rPr>
          <w:rStyle w:val="Enfasigrassetto"/>
          <w:rFonts w:cstheme="minorHAnsi"/>
          <w:b w:val="0"/>
          <w:bCs w:val="0"/>
          <w:bdr w:val="none" w:sz="0" w:space="0" w:color="auto" w:frame="1"/>
          <w:shd w:val="clear" w:color="auto" w:fill="FFFFFF"/>
        </w:rPr>
        <w:t>.38)</w:t>
      </w:r>
      <w:r w:rsidR="00514E79" w:rsidRPr="008777AB">
        <w:rPr>
          <w:rFonts w:cstheme="minorHAnsi"/>
          <w:shd w:val="clear" w:color="auto" w:fill="FFFFFF"/>
        </w:rPr>
        <w:t xml:space="preserve"> il quale stabiliva quanto segue:</w:t>
      </w:r>
    </w:p>
    <w:p w14:paraId="5D6D7909" w14:textId="48D3B45A" w:rsidR="003F5C25" w:rsidRDefault="00514E79" w:rsidP="00600242">
      <w:pPr>
        <w:rPr>
          <w:rFonts w:ascii="Arial" w:hAnsi="Arial" w:cs="Arial"/>
          <w:color w:val="434343"/>
          <w:sz w:val="21"/>
          <w:szCs w:val="21"/>
          <w:shd w:val="clear" w:color="auto" w:fill="FFFFFF"/>
        </w:rPr>
      </w:pPr>
      <w:r w:rsidRPr="009751F9">
        <w:rPr>
          <w:rFonts w:ascii="Arial" w:hAnsi="Arial" w:cs="Arial"/>
          <w:i/>
          <w:iCs/>
          <w:color w:val="434343"/>
          <w:sz w:val="21"/>
          <w:szCs w:val="21"/>
          <w:shd w:val="clear" w:color="auto" w:fill="FFFFFF"/>
        </w:rPr>
        <w:t xml:space="preserve">“Ai fini del diritto aeronautico, l'espressione «base» identifica un insieme di locali ed infrastrutture a partire dalle quali un'impresa esercita in modo stabile, abituale e continuativo un'attivita' di trasporto aereo, avvalendosi di lavoratori subordinati che hanno in tale base il loro centro di attivita' professionale, nel senso che vi lavorano, vi prendono servizio e vi ritornano dopo lo svolgimento della propria attivita'. Un vettore aereo titolare di una licenza di esercizio rilasciata da uno Stato membro dell'Unione europea diverso dall'Italia </w:t>
      </w:r>
      <w:proofErr w:type="gramStart"/>
      <w:r w:rsidRPr="009751F9">
        <w:rPr>
          <w:rFonts w:ascii="Arial" w:hAnsi="Arial" w:cs="Arial"/>
          <w:i/>
          <w:iCs/>
          <w:color w:val="434343"/>
          <w:sz w:val="21"/>
          <w:szCs w:val="21"/>
          <w:shd w:val="clear" w:color="auto" w:fill="FFFFFF"/>
        </w:rPr>
        <w:t>e'</w:t>
      </w:r>
      <w:proofErr w:type="gramEnd"/>
      <w:r w:rsidRPr="009751F9">
        <w:rPr>
          <w:rFonts w:ascii="Arial" w:hAnsi="Arial" w:cs="Arial"/>
          <w:i/>
          <w:iCs/>
          <w:color w:val="434343"/>
          <w:sz w:val="21"/>
          <w:szCs w:val="21"/>
          <w:shd w:val="clear" w:color="auto" w:fill="FFFFFF"/>
        </w:rPr>
        <w:t xml:space="preserve"> considerato stabilito sul territorio nazionale quando esercita in modo stabile o continuativo o abituale un'attivita' di trasporto aereo a partire da una base quale definita al periodo precedente.</w:t>
      </w:r>
      <w:r w:rsidR="003F5C25" w:rsidRPr="009751F9">
        <w:rPr>
          <w:rFonts w:ascii="Arial" w:hAnsi="Arial" w:cs="Arial"/>
          <w:i/>
          <w:iCs/>
          <w:color w:val="434343"/>
          <w:sz w:val="21"/>
          <w:szCs w:val="21"/>
          <w:shd w:val="clear" w:color="auto" w:fill="FFFFFF"/>
        </w:rPr>
        <w:t>”</w:t>
      </w:r>
      <w:r w:rsidR="003F5C25">
        <w:rPr>
          <w:rFonts w:ascii="Arial" w:hAnsi="Arial" w:cs="Arial"/>
          <w:color w:val="434343"/>
          <w:sz w:val="21"/>
          <w:szCs w:val="21"/>
          <w:shd w:val="clear" w:color="auto" w:fill="FFFFFF"/>
        </w:rPr>
        <w:t xml:space="preserve">  </w:t>
      </w:r>
      <w:r w:rsidR="003F5C25" w:rsidRPr="003F5C25">
        <w:rPr>
          <w:rFonts w:cstheme="minorHAnsi"/>
          <w:color w:val="FF0000"/>
          <w:sz w:val="18"/>
          <w:szCs w:val="18"/>
          <w:shd w:val="clear" w:color="auto" w:fill="FFFFFF"/>
        </w:rPr>
        <w:t>(7)</w:t>
      </w:r>
    </w:p>
    <w:p w14:paraId="2687FDC0" w14:textId="351C30D0" w:rsidR="00192B8E" w:rsidRDefault="002C6DF7" w:rsidP="006247CF">
      <w:pPr>
        <w:spacing w:after="0"/>
        <w:rPr>
          <w:rFonts w:cstheme="minorHAnsi"/>
          <w:shd w:val="clear" w:color="auto" w:fill="FFFFFF"/>
        </w:rPr>
      </w:pPr>
      <w:r w:rsidRPr="003501A5">
        <w:rPr>
          <w:rFonts w:cstheme="minorHAnsi"/>
          <w:shd w:val="clear" w:color="auto" w:fill="FFFFFF"/>
        </w:rPr>
        <w:t xml:space="preserve">La norma fu denominata anche “Norma </w:t>
      </w:r>
      <w:r w:rsidR="002F18A8">
        <w:rPr>
          <w:rFonts w:cstheme="minorHAnsi"/>
          <w:shd w:val="clear" w:color="auto" w:fill="FFFFFF"/>
        </w:rPr>
        <w:t>anti-</w:t>
      </w:r>
      <w:r w:rsidRPr="003501A5">
        <w:rPr>
          <w:rFonts w:cstheme="minorHAnsi"/>
          <w:shd w:val="clear" w:color="auto" w:fill="FFFFFF"/>
        </w:rPr>
        <w:t>Rya</w:t>
      </w:r>
      <w:r w:rsidR="003501A5" w:rsidRPr="003501A5">
        <w:rPr>
          <w:rFonts w:cstheme="minorHAnsi"/>
          <w:shd w:val="clear" w:color="auto" w:fill="FFFFFF"/>
        </w:rPr>
        <w:t>n</w:t>
      </w:r>
      <w:r w:rsidRPr="003501A5">
        <w:rPr>
          <w:rFonts w:cstheme="minorHAnsi"/>
          <w:shd w:val="clear" w:color="auto" w:fill="FFFFFF"/>
        </w:rPr>
        <w:t>air</w:t>
      </w:r>
      <w:r w:rsidR="003501A5" w:rsidRPr="003501A5">
        <w:rPr>
          <w:rFonts w:cstheme="minorHAnsi"/>
          <w:shd w:val="clear" w:color="auto" w:fill="FFFFFF"/>
        </w:rPr>
        <w:t>” e tutt</w:t>
      </w:r>
      <w:r w:rsidR="003501A5">
        <w:rPr>
          <w:rFonts w:cstheme="minorHAnsi"/>
          <w:shd w:val="clear" w:color="auto" w:fill="FFFFFF"/>
        </w:rPr>
        <w:t>i</w:t>
      </w:r>
      <w:r w:rsidR="003501A5" w:rsidRPr="003501A5">
        <w:rPr>
          <w:rFonts w:cstheme="minorHAnsi"/>
          <w:shd w:val="clear" w:color="auto" w:fill="FFFFFF"/>
        </w:rPr>
        <w:t xml:space="preserve"> si affrettarono a mettere in risalto </w:t>
      </w:r>
      <w:r w:rsidR="003501A5">
        <w:rPr>
          <w:rFonts w:cstheme="minorHAnsi"/>
          <w:shd w:val="clear" w:color="auto" w:fill="FFFFFF"/>
        </w:rPr>
        <w:t>che</w:t>
      </w:r>
      <w:r w:rsidR="005A61F2">
        <w:rPr>
          <w:rFonts w:cstheme="minorHAnsi"/>
          <w:shd w:val="clear" w:color="auto" w:fill="FFFFFF"/>
        </w:rPr>
        <w:t xml:space="preserve"> finalmente</w:t>
      </w:r>
      <w:r w:rsidR="003501A5">
        <w:rPr>
          <w:rFonts w:cstheme="minorHAnsi"/>
          <w:shd w:val="clear" w:color="auto" w:fill="FFFFFF"/>
        </w:rPr>
        <w:t xml:space="preserve"> </w:t>
      </w:r>
      <w:r w:rsidR="003501A5" w:rsidRPr="003501A5">
        <w:rPr>
          <w:rFonts w:cstheme="minorHAnsi"/>
          <w:shd w:val="clear" w:color="auto" w:fill="FFFFFF"/>
        </w:rPr>
        <w:t xml:space="preserve">Ryanair </w:t>
      </w:r>
      <w:r w:rsidR="004F659C">
        <w:rPr>
          <w:rFonts w:cstheme="minorHAnsi"/>
          <w:shd w:val="clear" w:color="auto" w:fill="FFFFFF"/>
        </w:rPr>
        <w:t xml:space="preserve">la quale </w:t>
      </w:r>
      <w:r w:rsidR="00192B8E">
        <w:rPr>
          <w:rFonts w:cstheme="minorHAnsi"/>
          <w:shd w:val="clear" w:color="auto" w:fill="FFFFFF"/>
        </w:rPr>
        <w:t>avev</w:t>
      </w:r>
      <w:r w:rsidR="003501A5" w:rsidRPr="003501A5">
        <w:rPr>
          <w:rFonts w:cstheme="minorHAnsi"/>
          <w:shd w:val="clear" w:color="auto" w:fill="FFFFFF"/>
        </w:rPr>
        <w:t>a fino</w:t>
      </w:r>
      <w:r w:rsidR="004F659C">
        <w:rPr>
          <w:rFonts w:cstheme="minorHAnsi"/>
          <w:shd w:val="clear" w:color="auto" w:fill="FFFFFF"/>
        </w:rPr>
        <w:t xml:space="preserve"> ad allora</w:t>
      </w:r>
      <w:r w:rsidR="003501A5" w:rsidRPr="003501A5">
        <w:rPr>
          <w:rFonts w:cstheme="minorHAnsi"/>
          <w:shd w:val="clear" w:color="auto" w:fill="FFFFFF"/>
        </w:rPr>
        <w:t xml:space="preserve"> applicato per i propri dipendenti le norme contributive del proprio Paese di origine sostenendo che dal momento che i lavoratori della compagnia prestano servizio per un'azienda irlandese, a bordo di aerei irlandesi, anche il regime fiscale a cui sono sottoposti d</w:t>
      </w:r>
      <w:r w:rsidR="00D81787">
        <w:rPr>
          <w:rFonts w:cstheme="minorHAnsi"/>
          <w:shd w:val="clear" w:color="auto" w:fill="FFFFFF"/>
        </w:rPr>
        <w:t>oveva</w:t>
      </w:r>
      <w:r w:rsidR="003501A5" w:rsidRPr="003501A5">
        <w:rPr>
          <w:rFonts w:cstheme="minorHAnsi"/>
          <w:shd w:val="clear" w:color="auto" w:fill="FFFFFF"/>
        </w:rPr>
        <w:t xml:space="preserve"> essere quello di Dublino</w:t>
      </w:r>
      <w:r w:rsidR="00B61F77">
        <w:rPr>
          <w:rFonts w:cstheme="minorHAnsi"/>
          <w:shd w:val="clear" w:color="auto" w:fill="FFFFFF"/>
        </w:rPr>
        <w:t>, veniva messa in riga.</w:t>
      </w:r>
      <w:r w:rsidR="003501A5" w:rsidRPr="003501A5">
        <w:rPr>
          <w:rFonts w:cstheme="minorHAnsi"/>
          <w:shd w:val="clear" w:color="auto" w:fill="FFFFFF"/>
        </w:rPr>
        <w:t xml:space="preserve"> </w:t>
      </w:r>
      <w:r w:rsidR="007D5514">
        <w:rPr>
          <w:rFonts w:cstheme="minorHAnsi"/>
          <w:shd w:val="clear" w:color="auto" w:fill="FFFFFF"/>
        </w:rPr>
        <w:t>Il regime fino ad allora applicato</w:t>
      </w:r>
      <w:r w:rsidR="003501A5" w:rsidRPr="003501A5">
        <w:rPr>
          <w:rFonts w:cstheme="minorHAnsi"/>
          <w:shd w:val="clear" w:color="auto" w:fill="FFFFFF"/>
        </w:rPr>
        <w:t xml:space="preserve"> garanti</w:t>
      </w:r>
      <w:r w:rsidR="00192B8E">
        <w:rPr>
          <w:rFonts w:cstheme="minorHAnsi"/>
          <w:shd w:val="clear" w:color="auto" w:fill="FFFFFF"/>
        </w:rPr>
        <w:t>va</w:t>
      </w:r>
      <w:r w:rsidR="00886F44">
        <w:rPr>
          <w:rFonts w:cstheme="minorHAnsi"/>
          <w:shd w:val="clear" w:color="auto" w:fill="FFFFFF"/>
        </w:rPr>
        <w:t xml:space="preserve"> inoltre</w:t>
      </w:r>
      <w:r w:rsidR="002F18A8">
        <w:rPr>
          <w:rFonts w:cstheme="minorHAnsi"/>
          <w:shd w:val="clear" w:color="auto" w:fill="FFFFFF"/>
        </w:rPr>
        <w:t xml:space="preserve"> notevoli</w:t>
      </w:r>
      <w:r w:rsidR="003501A5" w:rsidRPr="003501A5">
        <w:rPr>
          <w:rFonts w:cstheme="minorHAnsi"/>
          <w:shd w:val="clear" w:color="auto" w:fill="FFFFFF"/>
        </w:rPr>
        <w:t xml:space="preserve"> vantaggi fiscali alla </w:t>
      </w:r>
      <w:r w:rsidR="002D7E08">
        <w:rPr>
          <w:rFonts w:cstheme="minorHAnsi"/>
          <w:shd w:val="clear" w:color="auto" w:fill="FFFFFF"/>
        </w:rPr>
        <w:t>compagnia</w:t>
      </w:r>
      <w:r w:rsidR="003501A5" w:rsidRPr="003501A5">
        <w:rPr>
          <w:rFonts w:cstheme="minorHAnsi"/>
          <w:shd w:val="clear" w:color="auto" w:fill="FFFFFF"/>
        </w:rPr>
        <w:t xml:space="preserve"> di Michael O'Leary, dal momento che l'aliquota locale è molto più bassa di quella italiana (37% contro 12%).</w:t>
      </w:r>
      <w:r w:rsidR="008A56E2">
        <w:rPr>
          <w:rFonts w:cstheme="minorHAnsi"/>
          <w:shd w:val="clear" w:color="auto" w:fill="FFFFFF"/>
        </w:rPr>
        <w:t xml:space="preserve">  Ora finalmente</w:t>
      </w:r>
      <w:r w:rsidR="00D81787">
        <w:rPr>
          <w:rFonts w:cstheme="minorHAnsi"/>
          <w:shd w:val="clear" w:color="auto" w:fill="FFFFFF"/>
        </w:rPr>
        <w:t xml:space="preserve"> -avvertivano i media-</w:t>
      </w:r>
      <w:r w:rsidR="008A56E2">
        <w:rPr>
          <w:rFonts w:cstheme="minorHAnsi"/>
          <w:shd w:val="clear" w:color="auto" w:fill="FFFFFF"/>
        </w:rPr>
        <w:t xml:space="preserve"> tutto sarebbe stato più regolare.</w:t>
      </w:r>
    </w:p>
    <w:p w14:paraId="07BADB19" w14:textId="6274123A" w:rsidR="00D43597" w:rsidRDefault="00D43597" w:rsidP="00600242">
      <w:pPr>
        <w:rPr>
          <w:rFonts w:cstheme="minorHAnsi"/>
          <w:color w:val="FF0000"/>
          <w:sz w:val="18"/>
          <w:szCs w:val="18"/>
          <w:shd w:val="clear" w:color="auto" w:fill="FFFFFF"/>
        </w:rPr>
      </w:pPr>
      <w:r w:rsidRPr="000214BE">
        <w:rPr>
          <w:rFonts w:cstheme="minorHAnsi"/>
          <w:shd w:val="clear" w:color="auto" w:fill="FFFFFF"/>
        </w:rPr>
        <w:t>Si apr</w:t>
      </w:r>
      <w:r w:rsidR="002E2303" w:rsidRPr="000214BE">
        <w:rPr>
          <w:rFonts w:cstheme="minorHAnsi"/>
          <w:shd w:val="clear" w:color="auto" w:fill="FFFFFF"/>
        </w:rPr>
        <w:t>iva</w:t>
      </w:r>
      <w:r w:rsidRPr="000214BE">
        <w:rPr>
          <w:rFonts w:cstheme="minorHAnsi"/>
          <w:shd w:val="clear" w:color="auto" w:fill="FFFFFF"/>
        </w:rPr>
        <w:t xml:space="preserve"> </w:t>
      </w:r>
      <w:r w:rsidR="002E2303" w:rsidRPr="000214BE">
        <w:rPr>
          <w:rFonts w:cstheme="minorHAnsi"/>
          <w:i/>
          <w:iCs/>
          <w:shd w:val="clear" w:color="auto" w:fill="FFFFFF"/>
        </w:rPr>
        <w:t>“</w:t>
      </w:r>
      <w:r w:rsidRPr="000214BE">
        <w:rPr>
          <w:rFonts w:cstheme="minorHAnsi"/>
          <w:i/>
          <w:iCs/>
          <w:shd w:val="clear" w:color="auto" w:fill="FFFFFF"/>
        </w:rPr>
        <w:t>un capitolo che certamente non entusiasmerà affatto il management di Ryanair ma che, di fatto, è ora legge in Italia.</w:t>
      </w:r>
      <w:r w:rsidR="002E2303" w:rsidRPr="000214BE">
        <w:rPr>
          <w:rFonts w:cstheme="minorHAnsi"/>
          <w:i/>
          <w:iCs/>
          <w:shd w:val="clear" w:color="auto" w:fill="FFFFFF"/>
        </w:rPr>
        <w:t>”</w:t>
      </w:r>
      <w:r w:rsidR="008747B9" w:rsidRPr="000214BE">
        <w:rPr>
          <w:rFonts w:cstheme="minorHAnsi"/>
          <w:shd w:val="clear" w:color="auto" w:fill="FFFFFF"/>
        </w:rPr>
        <w:t xml:space="preserve"> </w:t>
      </w:r>
      <w:r w:rsidR="008747B9" w:rsidRPr="00DF68B2">
        <w:rPr>
          <w:rFonts w:cstheme="minorHAnsi"/>
          <w:color w:val="FF0000"/>
          <w:sz w:val="18"/>
          <w:szCs w:val="18"/>
          <w:shd w:val="clear" w:color="auto" w:fill="FFFFFF"/>
        </w:rPr>
        <w:t>(8)</w:t>
      </w:r>
    </w:p>
    <w:p w14:paraId="18F862C0" w14:textId="09BC2878" w:rsidR="001D78CA" w:rsidRPr="007625A9" w:rsidRDefault="001D78CA" w:rsidP="007625A9">
      <w:pPr>
        <w:jc w:val="center"/>
        <w:rPr>
          <w:rFonts w:cstheme="minorHAnsi"/>
          <w:color w:val="FF0000"/>
          <w:sz w:val="18"/>
          <w:szCs w:val="18"/>
          <w:shd w:val="clear" w:color="auto" w:fill="FFFFFF"/>
        </w:rPr>
      </w:pPr>
      <w:r w:rsidRPr="001D78CA">
        <w:rPr>
          <w:rFonts w:cstheme="minorHAnsi"/>
          <w:noProof/>
          <w:color w:val="FF0000"/>
          <w:sz w:val="18"/>
          <w:szCs w:val="18"/>
          <w:bdr w:val="single" w:sz="12" w:space="0" w:color="auto"/>
          <w:shd w:val="clear" w:color="auto" w:fill="FFFFFF"/>
        </w:rPr>
        <w:drawing>
          <wp:inline distT="0" distB="0" distL="0" distR="0" wp14:anchorId="0977F6CF" wp14:editId="3B2D7FBA">
            <wp:extent cx="3002400" cy="1800000"/>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3002400" cy="1800000"/>
                    </a:xfrm>
                    <a:prstGeom prst="rect">
                      <a:avLst/>
                    </a:prstGeom>
                  </pic:spPr>
                </pic:pic>
              </a:graphicData>
            </a:graphic>
          </wp:inline>
        </w:drawing>
      </w:r>
      <w:r w:rsidR="007625A9">
        <w:rPr>
          <w:rFonts w:cstheme="minorHAnsi"/>
          <w:color w:val="FF0000"/>
          <w:sz w:val="18"/>
          <w:szCs w:val="18"/>
          <w:shd w:val="clear" w:color="auto" w:fill="FFFFFF"/>
        </w:rPr>
        <w:t xml:space="preserve">  </w:t>
      </w:r>
      <w:r w:rsidRPr="00230DCE">
        <w:rPr>
          <w:rFonts w:cstheme="minorHAnsi"/>
          <w:i/>
          <w:iCs/>
          <w:sz w:val="18"/>
          <w:szCs w:val="18"/>
          <w:shd w:val="clear" w:color="auto" w:fill="FFFFFF"/>
        </w:rPr>
        <w:t>Il Corriere della Sera</w:t>
      </w:r>
      <w:r w:rsidR="00230DCE" w:rsidRPr="00230DCE">
        <w:rPr>
          <w:rFonts w:cstheme="minorHAnsi"/>
          <w:i/>
          <w:iCs/>
          <w:sz w:val="18"/>
          <w:szCs w:val="18"/>
          <w:shd w:val="clear" w:color="auto" w:fill="FFFFFF"/>
        </w:rPr>
        <w:t xml:space="preserve"> Economia del 21 novembre 2012</w:t>
      </w:r>
    </w:p>
    <w:p w14:paraId="64773A3E" w14:textId="5987E456" w:rsidR="009751F9" w:rsidRDefault="00DB0D9D" w:rsidP="00600242">
      <w:pPr>
        <w:rPr>
          <w:rFonts w:cstheme="minorHAnsi"/>
          <w:color w:val="FF0000"/>
          <w:shd w:val="clear" w:color="auto" w:fill="FFFFFF"/>
        </w:rPr>
      </w:pPr>
      <w:r w:rsidRPr="00DF68B2">
        <w:rPr>
          <w:rFonts w:cstheme="minorHAnsi"/>
          <w:shd w:val="clear" w:color="auto" w:fill="FFFFFF"/>
        </w:rPr>
        <w:lastRenderedPageBreak/>
        <w:t xml:space="preserve">La norma sollevò </w:t>
      </w:r>
      <w:r w:rsidR="00A87400">
        <w:rPr>
          <w:rFonts w:cstheme="minorHAnsi"/>
          <w:shd w:val="clear" w:color="auto" w:fill="FFFFFF"/>
        </w:rPr>
        <w:t xml:space="preserve">dubbi interpretativi </w:t>
      </w:r>
      <w:r w:rsidR="006738A4">
        <w:rPr>
          <w:rFonts w:cstheme="minorHAnsi"/>
          <w:shd w:val="clear" w:color="auto" w:fill="FFFFFF"/>
        </w:rPr>
        <w:t>nei confronti de</w:t>
      </w:r>
      <w:r w:rsidR="00CF56D5">
        <w:rPr>
          <w:rFonts w:cstheme="minorHAnsi"/>
          <w:shd w:val="clear" w:color="auto" w:fill="FFFFFF"/>
        </w:rPr>
        <w:t>i regolamenti</w:t>
      </w:r>
      <w:r w:rsidRPr="00DF68B2">
        <w:rPr>
          <w:rFonts w:cstheme="minorHAnsi"/>
          <w:shd w:val="clear" w:color="auto" w:fill="FFFFFF"/>
        </w:rPr>
        <w:t xml:space="preserve"> internazional</w:t>
      </w:r>
      <w:r w:rsidR="00CF56D5">
        <w:rPr>
          <w:rFonts w:cstheme="minorHAnsi"/>
          <w:shd w:val="clear" w:color="auto" w:fill="FFFFFF"/>
        </w:rPr>
        <w:t>i</w:t>
      </w:r>
      <w:r w:rsidRPr="00DF68B2">
        <w:rPr>
          <w:rFonts w:cstheme="minorHAnsi"/>
          <w:shd w:val="clear" w:color="auto" w:fill="FFFFFF"/>
        </w:rPr>
        <w:t xml:space="preserve"> in </w:t>
      </w:r>
      <w:proofErr w:type="gramStart"/>
      <w:r w:rsidRPr="00DF68B2">
        <w:rPr>
          <w:rFonts w:cstheme="minorHAnsi"/>
          <w:shd w:val="clear" w:color="auto" w:fill="FFFFFF"/>
        </w:rPr>
        <w:t xml:space="preserve">quanto  </w:t>
      </w:r>
      <w:r w:rsidR="00AE5378">
        <w:rPr>
          <w:rFonts w:cstheme="minorHAnsi"/>
          <w:shd w:val="clear" w:color="auto" w:fill="FFFFFF"/>
        </w:rPr>
        <w:t>l</w:t>
      </w:r>
      <w:r w:rsidRPr="00DF68B2">
        <w:rPr>
          <w:rFonts w:cstheme="minorHAnsi"/>
          <w:shd w:val="clear" w:color="auto" w:fill="FFFFFF"/>
        </w:rPr>
        <w:t>e</w:t>
      </w:r>
      <w:proofErr w:type="gramEnd"/>
      <w:r w:rsidRPr="00DF68B2">
        <w:rPr>
          <w:rFonts w:cstheme="minorHAnsi"/>
          <w:shd w:val="clear" w:color="auto" w:fill="FFFFFF"/>
        </w:rPr>
        <w:t xml:space="preserve"> convenzioni stipulate in </w:t>
      </w:r>
      <w:r w:rsidR="00AE58B4">
        <w:rPr>
          <w:rFonts w:cstheme="minorHAnsi"/>
          <w:shd w:val="clear" w:color="auto" w:fill="FFFFFF"/>
        </w:rPr>
        <w:t xml:space="preserve">base </w:t>
      </w:r>
      <w:r w:rsidR="00185DAF">
        <w:rPr>
          <w:rFonts w:cstheme="minorHAnsi"/>
          <w:shd w:val="clear" w:color="auto" w:fill="FFFFFF"/>
        </w:rPr>
        <w:t>a</w:t>
      </w:r>
      <w:r w:rsidRPr="00DF68B2">
        <w:rPr>
          <w:rFonts w:cstheme="minorHAnsi"/>
          <w:shd w:val="clear" w:color="auto" w:fill="FFFFFF"/>
        </w:rPr>
        <w:t xml:space="preserve">gli standard Ocse prevedono la tassazione esclusiva nel paese in cui si trova la sede di direzione effettiva della compagnia, a prescindere dall'esistenza di stabili organizzazioni altrove. </w:t>
      </w:r>
      <w:r w:rsidR="005C55AA">
        <w:rPr>
          <w:rFonts w:cstheme="minorHAnsi"/>
          <w:shd w:val="clear" w:color="auto" w:fill="FFFFFF"/>
        </w:rPr>
        <w:t xml:space="preserve">Questo </w:t>
      </w:r>
      <w:r w:rsidR="00AE5378">
        <w:rPr>
          <w:rFonts w:cstheme="minorHAnsi"/>
          <w:shd w:val="clear" w:color="auto" w:fill="FFFFFF"/>
        </w:rPr>
        <w:t>ostacolo</w:t>
      </w:r>
      <w:r w:rsidR="005C55AA">
        <w:rPr>
          <w:rFonts w:cstheme="minorHAnsi"/>
          <w:shd w:val="clear" w:color="auto" w:fill="FFFFFF"/>
        </w:rPr>
        <w:t xml:space="preserve"> </w:t>
      </w:r>
      <w:r w:rsidR="00BA0026">
        <w:rPr>
          <w:rFonts w:cstheme="minorHAnsi"/>
          <w:shd w:val="clear" w:color="auto" w:fill="FFFFFF"/>
        </w:rPr>
        <w:t xml:space="preserve">venne </w:t>
      </w:r>
      <w:r w:rsidR="00735920">
        <w:rPr>
          <w:rFonts w:cstheme="minorHAnsi"/>
          <w:shd w:val="clear" w:color="auto" w:fill="FFFFFF"/>
        </w:rPr>
        <w:t xml:space="preserve">tuttavia </w:t>
      </w:r>
      <w:proofErr w:type="gramStart"/>
      <w:r w:rsidR="00735920">
        <w:rPr>
          <w:rFonts w:cstheme="minorHAnsi"/>
          <w:shd w:val="clear" w:color="auto" w:fill="FFFFFF"/>
        </w:rPr>
        <w:t xml:space="preserve">superato </w:t>
      </w:r>
      <w:r w:rsidR="00BA0026">
        <w:rPr>
          <w:rFonts w:cstheme="minorHAnsi"/>
          <w:shd w:val="clear" w:color="auto" w:fill="FFFFFF"/>
        </w:rPr>
        <w:t xml:space="preserve"> dalla</w:t>
      </w:r>
      <w:proofErr w:type="gramEnd"/>
      <w:r w:rsidR="00BA0026">
        <w:rPr>
          <w:rFonts w:cstheme="minorHAnsi"/>
          <w:shd w:val="clear" w:color="auto" w:fill="FFFFFF"/>
        </w:rPr>
        <w:t xml:space="preserve"> nostra</w:t>
      </w:r>
      <w:r w:rsidRPr="00DF68B2">
        <w:rPr>
          <w:rFonts w:cstheme="minorHAnsi"/>
          <w:shd w:val="clear" w:color="auto" w:fill="FFFFFF"/>
        </w:rPr>
        <w:t xml:space="preserve"> </w:t>
      </w:r>
      <w:r w:rsidR="00BA0026">
        <w:rPr>
          <w:rFonts w:cstheme="minorHAnsi"/>
          <w:shd w:val="clear" w:color="auto" w:fill="FFFFFF"/>
        </w:rPr>
        <w:t xml:space="preserve"> A</w:t>
      </w:r>
      <w:r w:rsidRPr="00DF68B2">
        <w:rPr>
          <w:rFonts w:cstheme="minorHAnsi"/>
          <w:shd w:val="clear" w:color="auto" w:fill="FFFFFF"/>
        </w:rPr>
        <w:t xml:space="preserve">genzia delle </w:t>
      </w:r>
      <w:r w:rsidR="00BA0026">
        <w:rPr>
          <w:rFonts w:cstheme="minorHAnsi"/>
          <w:shd w:val="clear" w:color="auto" w:fill="FFFFFF"/>
        </w:rPr>
        <w:t>E</w:t>
      </w:r>
      <w:r w:rsidRPr="00DF68B2">
        <w:rPr>
          <w:rFonts w:cstheme="minorHAnsi"/>
          <w:shd w:val="clear" w:color="auto" w:fill="FFFFFF"/>
        </w:rPr>
        <w:t xml:space="preserve">ntrate </w:t>
      </w:r>
      <w:r w:rsidR="00A559D2">
        <w:rPr>
          <w:rFonts w:cstheme="minorHAnsi"/>
          <w:shd w:val="clear" w:color="auto" w:fill="FFFFFF"/>
        </w:rPr>
        <w:t xml:space="preserve"> la quale precisò che</w:t>
      </w:r>
      <w:r w:rsidRPr="00DF68B2">
        <w:rPr>
          <w:rFonts w:cstheme="minorHAnsi"/>
          <w:shd w:val="clear" w:color="auto" w:fill="FFFFFF"/>
        </w:rPr>
        <w:t xml:space="preserve"> </w:t>
      </w:r>
      <w:r w:rsidRPr="00A559D2">
        <w:rPr>
          <w:rFonts w:cstheme="minorHAnsi"/>
          <w:i/>
          <w:iCs/>
          <w:shd w:val="clear" w:color="auto" w:fill="FFFFFF"/>
        </w:rPr>
        <w:t>«l'attività di trasporto effettuata per mezzo di un vettore con sede di direzione effettiva all'estero in una tratta esclusivamente italiana non rientra nel concetto di traffico internazionale».</w:t>
      </w:r>
      <w:r w:rsidRPr="00DF68B2">
        <w:rPr>
          <w:rFonts w:cstheme="minorHAnsi"/>
          <w:shd w:val="clear" w:color="auto" w:fill="FFFFFF"/>
        </w:rPr>
        <w:t xml:space="preserve"> </w:t>
      </w:r>
      <w:r w:rsidR="00C45AEA" w:rsidRPr="00C45AEA">
        <w:rPr>
          <w:rFonts w:cstheme="minorHAnsi"/>
          <w:color w:val="FF0000"/>
          <w:sz w:val="18"/>
          <w:szCs w:val="18"/>
          <w:shd w:val="clear" w:color="auto" w:fill="FFFFFF"/>
        </w:rPr>
        <w:t>(9)</w:t>
      </w:r>
      <w:r w:rsidR="00C45AEA" w:rsidRPr="00C45AEA">
        <w:rPr>
          <w:rFonts w:cstheme="minorHAnsi"/>
          <w:color w:val="FF0000"/>
          <w:shd w:val="clear" w:color="auto" w:fill="FFFFFF"/>
        </w:rPr>
        <w:t xml:space="preserve"> </w:t>
      </w:r>
    </w:p>
    <w:p w14:paraId="71AF45D9" w14:textId="0278D666" w:rsidR="00767A4A" w:rsidRPr="003E2AAF" w:rsidRDefault="00DB0D9D" w:rsidP="00600242">
      <w:pPr>
        <w:rPr>
          <w:rFonts w:cstheme="minorHAnsi"/>
          <w:color w:val="FF0000"/>
          <w:sz w:val="18"/>
          <w:szCs w:val="18"/>
          <w:shd w:val="clear" w:color="auto" w:fill="FFFFFF"/>
        </w:rPr>
      </w:pPr>
      <w:r w:rsidRPr="00DF68B2">
        <w:rPr>
          <w:rFonts w:cstheme="minorHAnsi"/>
          <w:shd w:val="clear" w:color="auto" w:fill="FFFFFF"/>
        </w:rPr>
        <w:t xml:space="preserve"> </w:t>
      </w:r>
      <w:r w:rsidR="000040DA">
        <w:rPr>
          <w:rFonts w:cstheme="minorHAnsi"/>
          <w:shd w:val="clear" w:color="auto" w:fill="FFFFFF"/>
        </w:rPr>
        <w:t xml:space="preserve">A questo punto </w:t>
      </w:r>
      <w:r w:rsidR="00E2147A">
        <w:rPr>
          <w:rFonts w:cstheme="minorHAnsi"/>
          <w:shd w:val="clear" w:color="auto" w:fill="FFFFFF"/>
        </w:rPr>
        <w:t xml:space="preserve">per </w:t>
      </w:r>
      <w:r w:rsidR="000040DA">
        <w:rPr>
          <w:rFonts w:cstheme="minorHAnsi"/>
          <w:shd w:val="clear" w:color="auto" w:fill="FFFFFF"/>
        </w:rPr>
        <w:t xml:space="preserve">ogni compagnia low cost che </w:t>
      </w:r>
      <w:r w:rsidR="00C96854">
        <w:rPr>
          <w:rFonts w:cstheme="minorHAnsi"/>
          <w:shd w:val="clear" w:color="auto" w:fill="FFFFFF"/>
        </w:rPr>
        <w:t>disponeva</w:t>
      </w:r>
      <w:r w:rsidR="000040DA">
        <w:rPr>
          <w:rFonts w:cstheme="minorHAnsi"/>
          <w:shd w:val="clear" w:color="auto" w:fill="FFFFFF"/>
        </w:rPr>
        <w:t xml:space="preserve"> in Italia</w:t>
      </w:r>
      <w:r w:rsidR="00C96854">
        <w:rPr>
          <w:rFonts w:cstheme="minorHAnsi"/>
          <w:shd w:val="clear" w:color="auto" w:fill="FFFFFF"/>
        </w:rPr>
        <w:t xml:space="preserve"> di</w:t>
      </w:r>
      <w:r w:rsidR="000051C5">
        <w:rPr>
          <w:rFonts w:cstheme="minorHAnsi"/>
          <w:shd w:val="clear" w:color="auto" w:fill="FFFFFF"/>
        </w:rPr>
        <w:t xml:space="preserve"> una “base” (e Ryanair nel 201</w:t>
      </w:r>
      <w:r w:rsidR="005F5EEC">
        <w:rPr>
          <w:rFonts w:cstheme="minorHAnsi"/>
          <w:shd w:val="clear" w:color="auto" w:fill="FFFFFF"/>
        </w:rPr>
        <w:t>2</w:t>
      </w:r>
      <w:r w:rsidR="000051C5">
        <w:rPr>
          <w:rFonts w:cstheme="minorHAnsi"/>
          <w:shd w:val="clear" w:color="auto" w:fill="FFFFFF"/>
        </w:rPr>
        <w:t xml:space="preserve"> ne aveva una </w:t>
      </w:r>
      <w:proofErr w:type="gramStart"/>
      <w:r w:rsidR="000051C5">
        <w:rPr>
          <w:rFonts w:cstheme="minorHAnsi"/>
          <w:shd w:val="clear" w:color="auto" w:fill="FFFFFF"/>
        </w:rPr>
        <w:t xml:space="preserve">decina) </w:t>
      </w:r>
      <w:r w:rsidR="00767A4A">
        <w:rPr>
          <w:rFonts w:cstheme="minorHAnsi"/>
          <w:shd w:val="clear" w:color="auto" w:fill="FFFFFF"/>
        </w:rPr>
        <w:t xml:space="preserve"> i</w:t>
      </w:r>
      <w:proofErr w:type="gramEnd"/>
      <w:r w:rsidR="00767A4A">
        <w:rPr>
          <w:rFonts w:cstheme="minorHAnsi"/>
          <w:shd w:val="clear" w:color="auto" w:fill="FFFFFF"/>
        </w:rPr>
        <w:t xml:space="preserve"> di</w:t>
      </w:r>
      <w:r w:rsidR="00C96854">
        <w:rPr>
          <w:rFonts w:cstheme="minorHAnsi"/>
          <w:shd w:val="clear" w:color="auto" w:fill="FFFFFF"/>
        </w:rPr>
        <w:t>p</w:t>
      </w:r>
      <w:r w:rsidR="00767A4A">
        <w:rPr>
          <w:rFonts w:cstheme="minorHAnsi"/>
          <w:shd w:val="clear" w:color="auto" w:fill="FFFFFF"/>
        </w:rPr>
        <w:t>endenti avrebbero dovuto essere assunti se</w:t>
      </w:r>
      <w:r w:rsidR="00645F1D">
        <w:rPr>
          <w:rFonts w:cstheme="minorHAnsi"/>
          <w:shd w:val="clear" w:color="auto" w:fill="FFFFFF"/>
        </w:rPr>
        <w:t>c</w:t>
      </w:r>
      <w:r w:rsidR="00767A4A">
        <w:rPr>
          <w:rFonts w:cstheme="minorHAnsi"/>
          <w:shd w:val="clear" w:color="auto" w:fill="FFFFFF"/>
        </w:rPr>
        <w:t>ondo la legislazione italiana.</w:t>
      </w:r>
      <w:r w:rsidR="004D59F8">
        <w:rPr>
          <w:rFonts w:cstheme="minorHAnsi"/>
          <w:shd w:val="clear" w:color="auto" w:fill="FFFFFF"/>
        </w:rPr>
        <w:t xml:space="preserve"> </w:t>
      </w:r>
      <w:r w:rsidR="004D59F8" w:rsidRPr="003E2AAF">
        <w:rPr>
          <w:rFonts w:cstheme="minorHAnsi"/>
          <w:color w:val="FF0000"/>
          <w:sz w:val="18"/>
          <w:szCs w:val="18"/>
          <w:shd w:val="clear" w:color="auto" w:fill="FFFFFF"/>
        </w:rPr>
        <w:t>(10)</w:t>
      </w:r>
    </w:p>
    <w:p w14:paraId="7F7F2E33" w14:textId="7721EF22" w:rsidR="00877911" w:rsidRPr="001B0DD6" w:rsidRDefault="005F5EEC" w:rsidP="00600242">
      <w:pPr>
        <w:rPr>
          <w:rFonts w:cstheme="minorHAnsi"/>
          <w:color w:val="FF0000"/>
          <w:sz w:val="18"/>
          <w:szCs w:val="18"/>
          <w:shd w:val="clear" w:color="auto" w:fill="FFFFFF"/>
        </w:rPr>
      </w:pPr>
      <w:r>
        <w:rPr>
          <w:rFonts w:cstheme="minorHAnsi"/>
          <w:shd w:val="clear" w:color="auto" w:fill="FFFFFF"/>
        </w:rPr>
        <w:t>Con l’introduzione di questa norma</w:t>
      </w:r>
      <w:r w:rsidR="00877911" w:rsidRPr="00C45AEA">
        <w:rPr>
          <w:rFonts w:cstheme="minorHAnsi"/>
          <w:shd w:val="clear" w:color="auto" w:fill="FFFFFF"/>
        </w:rPr>
        <w:t xml:space="preserve"> cess</w:t>
      </w:r>
      <w:r>
        <w:rPr>
          <w:rFonts w:cstheme="minorHAnsi"/>
          <w:shd w:val="clear" w:color="auto" w:fill="FFFFFF"/>
        </w:rPr>
        <w:t>ava</w:t>
      </w:r>
      <w:r w:rsidR="00877911" w:rsidRPr="00C45AEA">
        <w:rPr>
          <w:rFonts w:cstheme="minorHAnsi"/>
          <w:shd w:val="clear" w:color="auto" w:fill="FFFFFF"/>
        </w:rPr>
        <w:t xml:space="preserve"> dunque quella sorta di «concorrenza sleale» più volte denunciata dalle altre compagnie aeree. Preoccupate invece </w:t>
      </w:r>
      <w:r w:rsidR="001B0DD6">
        <w:rPr>
          <w:rFonts w:cstheme="minorHAnsi"/>
          <w:shd w:val="clear" w:color="auto" w:fill="FFFFFF"/>
        </w:rPr>
        <w:t>era</w:t>
      </w:r>
      <w:r w:rsidR="00877911" w:rsidRPr="00C45AEA">
        <w:rPr>
          <w:rFonts w:cstheme="minorHAnsi"/>
          <w:shd w:val="clear" w:color="auto" w:fill="FFFFFF"/>
        </w:rPr>
        <w:t xml:space="preserve">no le società aeroportuali </w:t>
      </w:r>
      <w:r w:rsidR="00575821">
        <w:rPr>
          <w:rFonts w:cstheme="minorHAnsi"/>
          <w:shd w:val="clear" w:color="auto" w:fill="FFFFFF"/>
        </w:rPr>
        <w:t>nei confronti delle quali</w:t>
      </w:r>
      <w:r w:rsidR="00877911" w:rsidRPr="00C45AEA">
        <w:rPr>
          <w:rFonts w:cstheme="minorHAnsi"/>
          <w:shd w:val="clear" w:color="auto" w:fill="FFFFFF"/>
        </w:rPr>
        <w:t xml:space="preserve"> Ryanair </w:t>
      </w:r>
      <w:r w:rsidR="001220D4">
        <w:rPr>
          <w:rFonts w:cstheme="minorHAnsi"/>
          <w:shd w:val="clear" w:color="auto" w:fill="FFFFFF"/>
        </w:rPr>
        <w:t>ha sempre recitato</w:t>
      </w:r>
      <w:r w:rsidR="00877911" w:rsidRPr="00C45AEA">
        <w:rPr>
          <w:rFonts w:cstheme="minorHAnsi"/>
          <w:shd w:val="clear" w:color="auto" w:fill="FFFFFF"/>
        </w:rPr>
        <w:t xml:space="preserve"> la parte del leone e che tem</w:t>
      </w:r>
      <w:r w:rsidR="001B0DD6">
        <w:rPr>
          <w:rFonts w:cstheme="minorHAnsi"/>
          <w:shd w:val="clear" w:color="auto" w:fill="FFFFFF"/>
        </w:rPr>
        <w:t>eva</w:t>
      </w:r>
      <w:r w:rsidR="00877911" w:rsidRPr="00C45AEA">
        <w:rPr>
          <w:rFonts w:cstheme="minorHAnsi"/>
          <w:shd w:val="clear" w:color="auto" w:fill="FFFFFF"/>
        </w:rPr>
        <w:t xml:space="preserve">no un divorzio con la compagnia. </w:t>
      </w:r>
      <w:r w:rsidR="00331FFC" w:rsidRPr="00C45AEA">
        <w:rPr>
          <w:rFonts w:cstheme="minorHAnsi"/>
          <w:shd w:val="clear" w:color="auto" w:fill="FFFFFF"/>
        </w:rPr>
        <w:t xml:space="preserve"> </w:t>
      </w:r>
      <w:r w:rsidR="00331FFC" w:rsidRPr="00C45AEA">
        <w:rPr>
          <w:rFonts w:cstheme="minorHAnsi"/>
          <w:i/>
          <w:iCs/>
          <w:shd w:val="clear" w:color="auto" w:fill="FFFFFF"/>
        </w:rPr>
        <w:t>“</w:t>
      </w:r>
      <w:r w:rsidR="00877911" w:rsidRPr="00C45AEA">
        <w:rPr>
          <w:rFonts w:cstheme="minorHAnsi"/>
          <w:i/>
          <w:iCs/>
          <w:shd w:val="clear" w:color="auto" w:fill="FFFFFF"/>
        </w:rPr>
        <w:t>Quest’ultima in circostanze anche meno drammatiche si è comportata come chi sa di tenere il coltello saldamente dalla parte del manico: all’aeroporto di Verona, dove la società aveva chiesto di rivedere al ribasso una serie di incentivi economici concessi a O’ Leary, Ryanair ha reagito smobilitando la sua base in quattro e quattr’otto.</w:t>
      </w:r>
      <w:r w:rsidR="00331FFC" w:rsidRPr="00C45AEA">
        <w:rPr>
          <w:rFonts w:cstheme="minorHAnsi"/>
          <w:i/>
          <w:iCs/>
          <w:shd w:val="clear" w:color="auto" w:fill="FFFFFF"/>
        </w:rPr>
        <w:t>”</w:t>
      </w:r>
      <w:r w:rsidR="001B0DD6">
        <w:rPr>
          <w:rFonts w:cstheme="minorHAnsi"/>
          <w:i/>
          <w:iCs/>
          <w:shd w:val="clear" w:color="auto" w:fill="FFFFFF"/>
        </w:rPr>
        <w:t xml:space="preserve"> </w:t>
      </w:r>
      <w:r w:rsidR="001B0DD6" w:rsidRPr="001B0DD6">
        <w:rPr>
          <w:rFonts w:cstheme="minorHAnsi"/>
          <w:color w:val="FF0000"/>
          <w:sz w:val="18"/>
          <w:szCs w:val="18"/>
          <w:shd w:val="clear" w:color="auto" w:fill="FFFFFF"/>
        </w:rPr>
        <w:t>(11)</w:t>
      </w:r>
    </w:p>
    <w:p w14:paraId="4B7884F1" w14:textId="3BE62D7F" w:rsidR="00AE00FF" w:rsidRPr="00B1518E" w:rsidRDefault="00282FD6" w:rsidP="00AF3D0D">
      <w:pPr>
        <w:spacing w:after="0" w:line="276" w:lineRule="auto"/>
        <w:rPr>
          <w:rFonts w:cstheme="minorHAnsi"/>
          <w:u w:val="single"/>
        </w:rPr>
      </w:pPr>
      <w:r>
        <w:rPr>
          <w:rFonts w:cstheme="minorHAnsi"/>
        </w:rPr>
        <w:t>N</w:t>
      </w:r>
      <w:r w:rsidR="00373130">
        <w:rPr>
          <w:rFonts w:cstheme="minorHAnsi"/>
        </w:rPr>
        <w:t>el 2012</w:t>
      </w:r>
      <w:r w:rsidR="00682C9F">
        <w:rPr>
          <w:rFonts w:cstheme="minorHAnsi"/>
        </w:rPr>
        <w:t>, quando la norma venne pubblicata sulla Gazzetta Ufficiale</w:t>
      </w:r>
      <w:r w:rsidR="00414FF3">
        <w:rPr>
          <w:rFonts w:cstheme="minorHAnsi"/>
        </w:rPr>
        <w:t>,</w:t>
      </w:r>
      <w:r w:rsidR="00373130">
        <w:rPr>
          <w:rFonts w:cstheme="minorHAnsi"/>
        </w:rPr>
        <w:t xml:space="preserve"> </w:t>
      </w:r>
      <w:proofErr w:type="gramStart"/>
      <w:r w:rsidR="00373130">
        <w:rPr>
          <w:rFonts w:cstheme="minorHAnsi"/>
        </w:rPr>
        <w:t xml:space="preserve">Ryanair </w:t>
      </w:r>
      <w:r w:rsidR="00551E61">
        <w:rPr>
          <w:rFonts w:cstheme="minorHAnsi"/>
        </w:rPr>
        <w:t xml:space="preserve"> in</w:t>
      </w:r>
      <w:proofErr w:type="gramEnd"/>
      <w:r w:rsidR="00551E61">
        <w:rPr>
          <w:rFonts w:cstheme="minorHAnsi"/>
        </w:rPr>
        <w:t xml:space="preserve"> Italia aveva trasportato</w:t>
      </w:r>
      <w:r w:rsidR="001A68E0">
        <w:rPr>
          <w:rFonts w:cstheme="minorHAnsi"/>
        </w:rPr>
        <w:t xml:space="preserve"> 22.8 milioni di passeggeri</w:t>
      </w:r>
      <w:r w:rsidR="005E40D9">
        <w:rPr>
          <w:rFonts w:cstheme="minorHAnsi"/>
        </w:rPr>
        <w:t xml:space="preserve"> </w:t>
      </w:r>
      <w:r w:rsidR="001A68E0">
        <w:rPr>
          <w:rFonts w:cstheme="minorHAnsi"/>
        </w:rPr>
        <w:t>su un totale di 79.5 dell’intera rete</w:t>
      </w:r>
      <w:r w:rsidR="00675AC2">
        <w:rPr>
          <w:rFonts w:cstheme="minorHAnsi"/>
        </w:rPr>
        <w:t>,</w:t>
      </w:r>
      <w:r w:rsidR="001A68E0">
        <w:rPr>
          <w:rFonts w:cstheme="minorHAnsi"/>
        </w:rPr>
        <w:t xml:space="preserve"> ovvero</w:t>
      </w:r>
      <w:r w:rsidR="00CB457A">
        <w:rPr>
          <w:rFonts w:cstheme="minorHAnsi"/>
        </w:rPr>
        <w:t xml:space="preserve"> </w:t>
      </w:r>
      <w:r w:rsidR="001A68E0">
        <w:rPr>
          <w:rFonts w:cstheme="minorHAnsi"/>
        </w:rPr>
        <w:t xml:space="preserve"> </w:t>
      </w:r>
      <w:r w:rsidR="00561685">
        <w:rPr>
          <w:rFonts w:cstheme="minorHAnsi"/>
        </w:rPr>
        <w:t>il 29 per cento del suo traffico proveniva dall’Italia</w:t>
      </w:r>
      <w:r w:rsidR="00C322F8">
        <w:rPr>
          <w:rFonts w:cstheme="minorHAnsi"/>
        </w:rPr>
        <w:t>.</w:t>
      </w:r>
      <w:r w:rsidR="004D64B4">
        <w:rPr>
          <w:rFonts w:cstheme="minorHAnsi"/>
        </w:rPr>
        <w:t xml:space="preserve"> </w:t>
      </w:r>
      <w:r w:rsidR="005C1DCB">
        <w:rPr>
          <w:rFonts w:cstheme="minorHAnsi"/>
        </w:rPr>
        <w:t xml:space="preserve">Quell’anno Ryanair </w:t>
      </w:r>
      <w:r w:rsidR="00E13EE3">
        <w:rPr>
          <w:rFonts w:cstheme="minorHAnsi"/>
        </w:rPr>
        <w:t>aveva 10 basi in Italia</w:t>
      </w:r>
      <w:r w:rsidR="0096519B">
        <w:rPr>
          <w:rFonts w:cstheme="minorHAnsi"/>
        </w:rPr>
        <w:t xml:space="preserve"> e l’incidenza de</w:t>
      </w:r>
      <w:r w:rsidR="00C322F8">
        <w:rPr>
          <w:rFonts w:cstheme="minorHAnsi"/>
        </w:rPr>
        <w:t>lla voce</w:t>
      </w:r>
      <w:r w:rsidR="00AF3D0D">
        <w:rPr>
          <w:rFonts w:cstheme="minorHAnsi"/>
        </w:rPr>
        <w:t xml:space="preserve"> indicat</w:t>
      </w:r>
      <w:r w:rsidR="00334A1B">
        <w:rPr>
          <w:rFonts w:cstheme="minorHAnsi"/>
        </w:rPr>
        <w:t>a</w:t>
      </w:r>
      <w:r w:rsidR="00AF3D0D">
        <w:rPr>
          <w:rFonts w:cstheme="minorHAnsi"/>
        </w:rPr>
        <w:t xml:space="preserve"> a bilancio come</w:t>
      </w:r>
      <w:r w:rsidR="00A37868">
        <w:rPr>
          <w:rFonts w:cstheme="minorHAnsi"/>
        </w:rPr>
        <w:t xml:space="preserve"> </w:t>
      </w:r>
      <w:r w:rsidR="00A37868" w:rsidRPr="00CB457A">
        <w:rPr>
          <w:rFonts w:cstheme="minorHAnsi"/>
          <w:i/>
          <w:iCs/>
        </w:rPr>
        <w:t>“Social welfare cost”</w:t>
      </w:r>
      <w:r w:rsidR="00A37868">
        <w:rPr>
          <w:rFonts w:cstheme="minorHAnsi"/>
        </w:rPr>
        <w:t xml:space="preserve"> </w:t>
      </w:r>
      <w:r w:rsidR="009E051C">
        <w:rPr>
          <w:rFonts w:cstheme="minorHAnsi"/>
        </w:rPr>
        <w:t xml:space="preserve">nel corso degli anni successivi </w:t>
      </w:r>
      <w:r w:rsidR="00E43397">
        <w:rPr>
          <w:rFonts w:cstheme="minorHAnsi"/>
        </w:rPr>
        <w:t>avr</w:t>
      </w:r>
      <w:r w:rsidR="00AE00FF">
        <w:rPr>
          <w:rFonts w:cstheme="minorHAnsi"/>
        </w:rPr>
        <w:t xml:space="preserve">ebbe </w:t>
      </w:r>
      <w:r w:rsidR="00E43397">
        <w:rPr>
          <w:rFonts w:cstheme="minorHAnsi"/>
        </w:rPr>
        <w:t xml:space="preserve">dovuto aumentare </w:t>
      </w:r>
      <w:r w:rsidR="00AE00FF">
        <w:rPr>
          <w:rFonts w:cstheme="minorHAnsi"/>
        </w:rPr>
        <w:t xml:space="preserve">notevolmente. </w:t>
      </w:r>
      <w:r w:rsidR="00587491">
        <w:rPr>
          <w:rFonts w:cstheme="minorHAnsi"/>
        </w:rPr>
        <w:t xml:space="preserve">Tuttavia con il passar degli anni </w:t>
      </w:r>
      <w:r w:rsidR="009E051C" w:rsidRPr="00B1518E">
        <w:rPr>
          <w:rFonts w:cstheme="minorHAnsi"/>
          <w:u w:val="single"/>
        </w:rPr>
        <w:t>l’incidenza</w:t>
      </w:r>
      <w:r w:rsidR="00835FB5" w:rsidRPr="00B1518E">
        <w:rPr>
          <w:rFonts w:cstheme="minorHAnsi"/>
          <w:u w:val="single"/>
        </w:rPr>
        <w:t xml:space="preserve"> dei costi sociali sull’importo dei salari rimane</w:t>
      </w:r>
      <w:r w:rsidR="00744536">
        <w:rPr>
          <w:rFonts w:cstheme="minorHAnsi"/>
          <w:u w:val="single"/>
        </w:rPr>
        <w:t>va</w:t>
      </w:r>
      <w:r w:rsidR="00835FB5" w:rsidRPr="00B1518E">
        <w:rPr>
          <w:rFonts w:cstheme="minorHAnsi"/>
          <w:u w:val="single"/>
        </w:rPr>
        <w:t xml:space="preserve"> costante</w:t>
      </w:r>
      <w:r w:rsidR="00300DB3" w:rsidRPr="00B1518E">
        <w:rPr>
          <w:rFonts w:cstheme="minorHAnsi"/>
          <w:u w:val="single"/>
        </w:rPr>
        <w:t>, anzi</w:t>
      </w:r>
      <w:r w:rsidR="00835FB5" w:rsidRPr="00B1518E">
        <w:rPr>
          <w:rFonts w:cstheme="minorHAnsi"/>
          <w:u w:val="single"/>
        </w:rPr>
        <w:t xml:space="preserve"> addirittura diminuiva</w:t>
      </w:r>
      <w:r w:rsidR="00300DB3" w:rsidRPr="00B1518E">
        <w:rPr>
          <w:rFonts w:cstheme="minorHAnsi"/>
          <w:u w:val="single"/>
        </w:rPr>
        <w:t>.</w:t>
      </w:r>
    </w:p>
    <w:p w14:paraId="784CC55E" w14:textId="77777777" w:rsidR="00AE00FF" w:rsidRDefault="00AE00FF" w:rsidP="00C764F4">
      <w:pPr>
        <w:spacing w:after="0" w:line="240" w:lineRule="auto"/>
        <w:rPr>
          <w:rFonts w:cstheme="minorHAnsi"/>
        </w:rPr>
      </w:pPr>
    </w:p>
    <w:p w14:paraId="0E9F868C" w14:textId="77777777" w:rsidR="00C83452" w:rsidRPr="00C83452" w:rsidRDefault="00C83452" w:rsidP="00C83452">
      <w:pPr>
        <w:spacing w:after="0" w:line="240" w:lineRule="auto"/>
        <w:rPr>
          <w:b/>
          <w:bCs/>
          <w:lang w:val="en-US"/>
        </w:rPr>
      </w:pPr>
      <w:r w:rsidRPr="00C83452">
        <w:rPr>
          <w:b/>
          <w:bCs/>
          <w:lang w:val="en-US"/>
        </w:rPr>
        <w:t>Anno</w:t>
      </w:r>
      <w:r w:rsidRPr="00C83452">
        <w:rPr>
          <w:b/>
          <w:bCs/>
          <w:lang w:val="en-US"/>
        </w:rPr>
        <w:tab/>
        <w:t xml:space="preserve">    N° basi ttl</w:t>
      </w:r>
      <w:r w:rsidRPr="00C83452">
        <w:rPr>
          <w:b/>
          <w:bCs/>
          <w:lang w:val="en-US"/>
        </w:rPr>
        <w:tab/>
        <w:t>N° basi Italia      Staff salaries cost</w:t>
      </w:r>
      <w:r w:rsidRPr="00C83452">
        <w:rPr>
          <w:b/>
          <w:bCs/>
          <w:lang w:val="en-US"/>
        </w:rPr>
        <w:tab/>
        <w:t>Welfare cost</w:t>
      </w:r>
      <w:r w:rsidRPr="00C83452">
        <w:rPr>
          <w:b/>
          <w:bCs/>
          <w:lang w:val="en-US"/>
        </w:rPr>
        <w:tab/>
      </w:r>
      <w:r w:rsidRPr="00C83452">
        <w:rPr>
          <w:b/>
          <w:bCs/>
          <w:lang w:val="en-US"/>
        </w:rPr>
        <w:tab/>
        <w:t>incidenza %</w:t>
      </w:r>
    </w:p>
    <w:p w14:paraId="18F95764" w14:textId="77777777" w:rsidR="00C83452" w:rsidRPr="00C83452" w:rsidRDefault="00C83452" w:rsidP="00C83452">
      <w:pPr>
        <w:rPr>
          <w:b/>
          <w:bCs/>
          <w:i/>
          <w:sz w:val="16"/>
          <w:szCs w:val="16"/>
        </w:rPr>
      </w:pPr>
      <w:r w:rsidRPr="00C83452">
        <w:rPr>
          <w:b/>
          <w:bCs/>
          <w:i/>
          <w:iCs/>
          <w:sz w:val="16"/>
          <w:szCs w:val="16"/>
          <w:lang w:val="en-US"/>
        </w:rPr>
        <w:t>(Al 31/3)</w:t>
      </w:r>
      <w:r w:rsidRPr="00C83452">
        <w:rPr>
          <w:b/>
          <w:bCs/>
          <w:i/>
          <w:iCs/>
          <w:lang w:val="en-US"/>
        </w:rPr>
        <w:tab/>
      </w:r>
      <w:r w:rsidRPr="00C83452">
        <w:rPr>
          <w:b/>
          <w:bCs/>
          <w:lang w:val="en-US"/>
        </w:rPr>
        <w:tab/>
      </w:r>
      <w:r w:rsidRPr="00C83452">
        <w:rPr>
          <w:b/>
          <w:bCs/>
          <w:lang w:val="en-US"/>
        </w:rPr>
        <w:tab/>
      </w:r>
      <w:r w:rsidRPr="00C83452">
        <w:rPr>
          <w:b/>
          <w:bCs/>
          <w:lang w:val="en-US"/>
        </w:rPr>
        <w:tab/>
        <w:t xml:space="preserve">             </w:t>
      </w:r>
      <w:proofErr w:type="gramStart"/>
      <w:r w:rsidRPr="00C83452">
        <w:rPr>
          <w:b/>
          <w:bCs/>
          <w:lang w:val="en-US"/>
        </w:rPr>
        <w:t xml:space="preserve">   </w:t>
      </w:r>
      <w:r w:rsidRPr="00C83452">
        <w:rPr>
          <w:b/>
          <w:bCs/>
          <w:i/>
          <w:sz w:val="16"/>
          <w:szCs w:val="16"/>
        </w:rPr>
        <w:t>(</w:t>
      </w:r>
      <w:proofErr w:type="gramEnd"/>
      <w:r w:rsidRPr="00C83452">
        <w:rPr>
          <w:b/>
          <w:bCs/>
          <w:i/>
          <w:sz w:val="16"/>
          <w:szCs w:val="16"/>
        </w:rPr>
        <w:t>milioni euro)</w:t>
      </w:r>
      <w:r w:rsidRPr="00C83452">
        <w:rPr>
          <w:b/>
          <w:bCs/>
          <w:i/>
          <w:sz w:val="16"/>
          <w:szCs w:val="16"/>
        </w:rPr>
        <w:tab/>
      </w:r>
      <w:r w:rsidRPr="00C83452">
        <w:rPr>
          <w:b/>
          <w:bCs/>
          <w:i/>
          <w:sz w:val="16"/>
          <w:szCs w:val="16"/>
        </w:rPr>
        <w:tab/>
      </w:r>
      <w:r w:rsidRPr="00C83452">
        <w:rPr>
          <w:b/>
          <w:bCs/>
          <w:lang w:val="en-US"/>
        </w:rPr>
        <w:t xml:space="preserve">    </w:t>
      </w:r>
      <w:r w:rsidRPr="00C83452">
        <w:rPr>
          <w:b/>
          <w:bCs/>
          <w:i/>
          <w:sz w:val="16"/>
          <w:szCs w:val="16"/>
        </w:rPr>
        <w:t>(milioni euro)</w:t>
      </w:r>
    </w:p>
    <w:p w14:paraId="309A6973" w14:textId="77777777" w:rsidR="00C83452" w:rsidRPr="007646D4" w:rsidRDefault="00C83452" w:rsidP="00C83452">
      <w:pPr>
        <w:rPr>
          <w:i/>
          <w:sz w:val="16"/>
          <w:szCs w:val="16"/>
        </w:rPr>
      </w:pPr>
    </w:p>
    <w:p w14:paraId="2ECC3D9D" w14:textId="77777777" w:rsidR="00C83452" w:rsidRDefault="00C83452" w:rsidP="00C83452">
      <w:pPr>
        <w:spacing w:after="0" w:line="240" w:lineRule="auto"/>
      </w:pPr>
      <w:r>
        <w:t>2011</w:t>
      </w:r>
      <w:r>
        <w:tab/>
      </w:r>
      <w:r>
        <w:tab/>
        <w:t>45</w:t>
      </w:r>
      <w:r>
        <w:tab/>
        <w:t xml:space="preserve">      10</w:t>
      </w:r>
      <w:r>
        <w:tab/>
      </w:r>
      <w:r>
        <w:tab/>
        <w:t xml:space="preserve">    352.0</w:t>
      </w:r>
      <w:r>
        <w:tab/>
      </w:r>
      <w:r>
        <w:tab/>
        <w:t xml:space="preserve">    </w:t>
      </w:r>
      <w:r>
        <w:tab/>
        <w:t xml:space="preserve">      18.1</w:t>
      </w:r>
      <w:r>
        <w:tab/>
      </w:r>
      <w:r>
        <w:tab/>
      </w:r>
      <w:r>
        <w:tab/>
        <w:t xml:space="preserve">     5.14</w:t>
      </w:r>
    </w:p>
    <w:p w14:paraId="6C648BE5" w14:textId="77777777" w:rsidR="00C83452" w:rsidRDefault="00C83452" w:rsidP="00C83452">
      <w:pPr>
        <w:spacing w:after="0" w:line="240" w:lineRule="auto"/>
      </w:pPr>
      <w:r>
        <w:t>2012</w:t>
      </w:r>
      <w:r>
        <w:tab/>
      </w:r>
      <w:r>
        <w:tab/>
        <w:t>51</w:t>
      </w:r>
      <w:r>
        <w:tab/>
        <w:t xml:space="preserve">      10</w:t>
      </w:r>
      <w:r>
        <w:tab/>
      </w:r>
      <w:r>
        <w:tab/>
        <w:t xml:space="preserve">    395.0</w:t>
      </w:r>
      <w:r>
        <w:tab/>
      </w:r>
      <w:r>
        <w:tab/>
        <w:t xml:space="preserve">    </w:t>
      </w:r>
      <w:r>
        <w:tab/>
        <w:t xml:space="preserve">      18.1</w:t>
      </w:r>
      <w:r>
        <w:tab/>
      </w:r>
      <w:r>
        <w:tab/>
      </w:r>
      <w:r>
        <w:tab/>
        <w:t xml:space="preserve">     4.58</w:t>
      </w:r>
    </w:p>
    <w:p w14:paraId="6857C48E" w14:textId="77777777" w:rsidR="00C83452" w:rsidRDefault="00C83452" w:rsidP="00C83452">
      <w:pPr>
        <w:spacing w:after="0" w:line="240" w:lineRule="auto"/>
      </w:pPr>
      <w:r>
        <w:t>2013</w:t>
      </w:r>
      <w:r>
        <w:tab/>
      </w:r>
      <w:r>
        <w:tab/>
        <w:t>57</w:t>
      </w:r>
      <w:r>
        <w:tab/>
        <w:t xml:space="preserve">      10</w:t>
      </w:r>
      <w:r>
        <w:tab/>
      </w:r>
      <w:r>
        <w:tab/>
        <w:t xml:space="preserve">    412.3</w:t>
      </w:r>
      <w:r>
        <w:tab/>
      </w:r>
      <w:r>
        <w:tab/>
        <w:t xml:space="preserve">                    18.4</w:t>
      </w:r>
      <w:r>
        <w:tab/>
      </w:r>
      <w:r>
        <w:tab/>
      </w:r>
      <w:r>
        <w:tab/>
        <w:t xml:space="preserve">     4.46</w:t>
      </w:r>
    </w:p>
    <w:p w14:paraId="3E50D232" w14:textId="18BD3577" w:rsidR="00EB47BE" w:rsidRDefault="00EB47BE" w:rsidP="00C83452">
      <w:pPr>
        <w:spacing w:after="0" w:line="240" w:lineRule="auto"/>
      </w:pPr>
      <w:r>
        <w:t>2014</w:t>
      </w:r>
      <w:r w:rsidR="00135F10">
        <w:tab/>
      </w:r>
      <w:r w:rsidR="00135F10">
        <w:tab/>
        <w:t>89</w:t>
      </w:r>
      <w:r w:rsidR="00135F10">
        <w:tab/>
        <w:t xml:space="preserve">      </w:t>
      </w:r>
      <w:r w:rsidR="0086400A">
        <w:t>14</w:t>
      </w:r>
      <w:r w:rsidR="00F879C5">
        <w:tab/>
      </w:r>
      <w:r w:rsidR="00F879C5">
        <w:tab/>
        <w:t xml:space="preserve">    </w:t>
      </w:r>
      <w:r w:rsidR="00E07CC1">
        <w:t>441.5</w:t>
      </w:r>
      <w:r w:rsidR="00E07CC1">
        <w:tab/>
      </w:r>
      <w:r w:rsidR="00E07CC1">
        <w:tab/>
      </w:r>
      <w:r w:rsidR="00E07CC1">
        <w:tab/>
        <w:t xml:space="preserve">      </w:t>
      </w:r>
      <w:r w:rsidR="00427B0F">
        <w:t>18.7</w:t>
      </w:r>
      <w:r w:rsidR="00427B0F">
        <w:tab/>
      </w:r>
      <w:r w:rsidR="00427B0F">
        <w:tab/>
      </w:r>
      <w:r w:rsidR="00427B0F">
        <w:tab/>
        <w:t xml:space="preserve">     </w:t>
      </w:r>
      <w:r w:rsidR="00C06765">
        <w:t>4.23</w:t>
      </w:r>
    </w:p>
    <w:p w14:paraId="0A1C58E0" w14:textId="77777777" w:rsidR="00C83452" w:rsidRDefault="00C83452" w:rsidP="00C83452">
      <w:pPr>
        <w:spacing w:after="0" w:line="240" w:lineRule="auto"/>
      </w:pPr>
      <w:r>
        <w:t>2019</w:t>
      </w:r>
      <w:r>
        <w:tab/>
      </w:r>
      <w:r>
        <w:tab/>
        <w:t>86                14</w:t>
      </w:r>
      <w:r>
        <w:tab/>
      </w:r>
      <w:r>
        <w:tab/>
        <w:t xml:space="preserve">    929.2</w:t>
      </w:r>
      <w:r>
        <w:tab/>
      </w:r>
      <w:r>
        <w:tab/>
        <w:t xml:space="preserve">     </w:t>
      </w:r>
      <w:r>
        <w:tab/>
        <w:t xml:space="preserve">      38.5</w:t>
      </w:r>
      <w:r>
        <w:tab/>
      </w:r>
      <w:r>
        <w:tab/>
      </w:r>
      <w:r>
        <w:tab/>
        <w:t xml:space="preserve">     4.14</w:t>
      </w:r>
    </w:p>
    <w:p w14:paraId="7C8A4251" w14:textId="77777777" w:rsidR="00C83452" w:rsidRDefault="00C83452" w:rsidP="00C83452">
      <w:pPr>
        <w:spacing w:after="0" w:line="240" w:lineRule="auto"/>
      </w:pPr>
      <w:r>
        <w:t>2022</w:t>
      </w:r>
      <w:r>
        <w:tab/>
      </w:r>
      <w:r>
        <w:tab/>
        <w:t>90                17</w:t>
      </w:r>
      <w:r>
        <w:tab/>
      </w:r>
      <w:r>
        <w:tab/>
        <w:t xml:space="preserve">    641.1</w:t>
      </w:r>
      <w:r>
        <w:tab/>
      </w:r>
      <w:r>
        <w:tab/>
        <w:t xml:space="preserve">                    32.5</w:t>
      </w:r>
      <w:r>
        <w:tab/>
      </w:r>
      <w:r>
        <w:tab/>
      </w:r>
      <w:r>
        <w:tab/>
        <w:t xml:space="preserve">     5.06</w:t>
      </w:r>
    </w:p>
    <w:p w14:paraId="5F1F1F6D" w14:textId="77777777" w:rsidR="00C83452" w:rsidRDefault="00C83452" w:rsidP="00C83452">
      <w:pPr>
        <w:spacing w:after="0" w:line="240" w:lineRule="auto"/>
      </w:pPr>
    </w:p>
    <w:p w14:paraId="16ECBC11" w14:textId="77777777" w:rsidR="00AE00FF" w:rsidRDefault="00AE00FF" w:rsidP="00C764F4">
      <w:pPr>
        <w:spacing w:after="0" w:line="240" w:lineRule="auto"/>
        <w:rPr>
          <w:rFonts w:cstheme="minorHAnsi"/>
        </w:rPr>
      </w:pPr>
    </w:p>
    <w:p w14:paraId="061E7179" w14:textId="2D373D8D" w:rsidR="009D2265" w:rsidRDefault="0047731D" w:rsidP="00C764F4">
      <w:pPr>
        <w:spacing w:after="0" w:line="240" w:lineRule="auto"/>
        <w:rPr>
          <w:rFonts w:cstheme="minorHAnsi"/>
        </w:rPr>
      </w:pPr>
      <w:r>
        <w:rPr>
          <w:rFonts w:cstheme="minorHAnsi"/>
        </w:rPr>
        <w:t xml:space="preserve">Pur aumentando </w:t>
      </w:r>
      <w:r w:rsidR="0013030C">
        <w:rPr>
          <w:rFonts w:cstheme="minorHAnsi"/>
        </w:rPr>
        <w:t>il numero delle basi aperte</w:t>
      </w:r>
      <w:r>
        <w:rPr>
          <w:rFonts w:cstheme="minorHAnsi"/>
        </w:rPr>
        <w:t xml:space="preserve">, pur aumentando </w:t>
      </w:r>
      <w:r w:rsidR="007938AD">
        <w:rPr>
          <w:rFonts w:cstheme="minorHAnsi"/>
        </w:rPr>
        <w:t>l’importo dei salari,</w:t>
      </w:r>
      <w:r>
        <w:rPr>
          <w:rFonts w:cstheme="minorHAnsi"/>
        </w:rPr>
        <w:t xml:space="preserve"> l’incidenza dei c</w:t>
      </w:r>
      <w:r w:rsidR="00E839AB">
        <w:rPr>
          <w:rFonts w:cstheme="minorHAnsi"/>
        </w:rPr>
        <w:t>ontributi</w:t>
      </w:r>
      <w:r>
        <w:rPr>
          <w:rFonts w:cstheme="minorHAnsi"/>
        </w:rPr>
        <w:t xml:space="preserve"> soci</w:t>
      </w:r>
      <w:r w:rsidR="00E839AB">
        <w:rPr>
          <w:rFonts w:cstheme="minorHAnsi"/>
        </w:rPr>
        <w:t xml:space="preserve">ali/previdenziali rimaneva costante. </w:t>
      </w:r>
      <w:r w:rsidR="00BA7F96">
        <w:rPr>
          <w:rFonts w:cstheme="minorHAnsi"/>
        </w:rPr>
        <w:t xml:space="preserve"> Come spiegare l’arcano?</w:t>
      </w:r>
    </w:p>
    <w:p w14:paraId="0D134737" w14:textId="48A78389" w:rsidR="00BA7F96" w:rsidRDefault="00BA7F96" w:rsidP="00C764F4">
      <w:pPr>
        <w:spacing w:after="0" w:line="240" w:lineRule="auto"/>
        <w:rPr>
          <w:rFonts w:cstheme="minorHAnsi"/>
          <w:color w:val="FF0000"/>
          <w:sz w:val="18"/>
          <w:szCs w:val="18"/>
        </w:rPr>
      </w:pPr>
      <w:r>
        <w:rPr>
          <w:rFonts w:cstheme="minorHAnsi"/>
        </w:rPr>
        <w:t>La risposta ci fu fornita da una precisazione contenuta nel modello 20</w:t>
      </w:r>
      <w:r w:rsidR="003A7E1B">
        <w:rPr>
          <w:rFonts w:cstheme="minorHAnsi"/>
        </w:rPr>
        <w:t>F</w:t>
      </w:r>
      <w:r>
        <w:rPr>
          <w:rFonts w:cstheme="minorHAnsi"/>
        </w:rPr>
        <w:t xml:space="preserve"> che la soci</w:t>
      </w:r>
      <w:r w:rsidR="0042537B">
        <w:rPr>
          <w:rFonts w:cstheme="minorHAnsi"/>
        </w:rPr>
        <w:t>età presenta annualmente agli organismi di controllo statunitensi.</w:t>
      </w:r>
      <w:r w:rsidR="0069027E">
        <w:rPr>
          <w:rFonts w:cstheme="minorHAnsi"/>
        </w:rPr>
        <w:t xml:space="preserve"> </w:t>
      </w:r>
      <w:r w:rsidR="0069027E" w:rsidRPr="0069027E">
        <w:rPr>
          <w:rFonts w:cstheme="minorHAnsi"/>
          <w:color w:val="FF0000"/>
          <w:sz w:val="18"/>
          <w:szCs w:val="18"/>
        </w:rPr>
        <w:t>(12)</w:t>
      </w:r>
    </w:p>
    <w:p w14:paraId="70106B81" w14:textId="3C8F49F0" w:rsidR="00CE608A" w:rsidRPr="00871040" w:rsidRDefault="00871040" w:rsidP="00C764F4">
      <w:pPr>
        <w:spacing w:after="0" w:line="240" w:lineRule="auto"/>
        <w:rPr>
          <w:rFonts w:cstheme="minorHAnsi"/>
        </w:rPr>
      </w:pPr>
      <w:r>
        <w:rPr>
          <w:rFonts w:cstheme="minorHAnsi"/>
        </w:rPr>
        <w:t>Il modello 20</w:t>
      </w:r>
      <w:r w:rsidR="002179A3">
        <w:rPr>
          <w:rFonts w:cstheme="minorHAnsi"/>
        </w:rPr>
        <w:t>F</w:t>
      </w:r>
      <w:r>
        <w:rPr>
          <w:rFonts w:cstheme="minorHAnsi"/>
        </w:rPr>
        <w:t xml:space="preserve"> è un </w:t>
      </w:r>
      <w:r w:rsidRPr="0080465F">
        <w:rPr>
          <w:rFonts w:cstheme="minorHAnsi"/>
          <w:i/>
          <w:iCs/>
        </w:rPr>
        <w:t>Form</w:t>
      </w:r>
      <w:r>
        <w:rPr>
          <w:rFonts w:cstheme="minorHAnsi"/>
        </w:rPr>
        <w:t xml:space="preserve"> molto articolato e dettagliato nel quale la </w:t>
      </w:r>
      <w:proofErr w:type="gramStart"/>
      <w:r>
        <w:rPr>
          <w:rFonts w:cstheme="minorHAnsi"/>
        </w:rPr>
        <w:t xml:space="preserve">società </w:t>
      </w:r>
      <w:r w:rsidR="00671C5A">
        <w:rPr>
          <w:rFonts w:cstheme="minorHAnsi"/>
        </w:rPr>
        <w:t xml:space="preserve"> deve</w:t>
      </w:r>
      <w:proofErr w:type="gramEnd"/>
      <w:r w:rsidR="00671C5A">
        <w:rPr>
          <w:rFonts w:cstheme="minorHAnsi"/>
        </w:rPr>
        <w:t xml:space="preserve"> elencare oltre ai risultati finanziari e di traffico ottenuti</w:t>
      </w:r>
      <w:r w:rsidR="0080465F">
        <w:rPr>
          <w:rFonts w:cstheme="minorHAnsi"/>
        </w:rPr>
        <w:t>,</w:t>
      </w:r>
      <w:r w:rsidR="00671C5A">
        <w:rPr>
          <w:rFonts w:cstheme="minorHAnsi"/>
        </w:rPr>
        <w:t xml:space="preserve"> anche </w:t>
      </w:r>
      <w:r w:rsidR="001C2DD9">
        <w:rPr>
          <w:rFonts w:cstheme="minorHAnsi"/>
        </w:rPr>
        <w:t>impedimenti e difficoltà di cui  è a conoscenza che potreb</w:t>
      </w:r>
      <w:r w:rsidR="0080465F">
        <w:rPr>
          <w:rFonts w:cstheme="minorHAnsi"/>
        </w:rPr>
        <w:t>b</w:t>
      </w:r>
      <w:r w:rsidR="001C2DD9">
        <w:rPr>
          <w:rFonts w:cstheme="minorHAnsi"/>
        </w:rPr>
        <w:t xml:space="preserve">ero </w:t>
      </w:r>
      <w:r w:rsidR="0080465F">
        <w:rPr>
          <w:rFonts w:cstheme="minorHAnsi"/>
        </w:rPr>
        <w:t>influire</w:t>
      </w:r>
      <w:r w:rsidR="001C2DD9">
        <w:rPr>
          <w:rFonts w:cstheme="minorHAnsi"/>
        </w:rPr>
        <w:t xml:space="preserve"> </w:t>
      </w:r>
      <w:r w:rsidR="008F45AF">
        <w:rPr>
          <w:rFonts w:cstheme="minorHAnsi"/>
        </w:rPr>
        <w:t>sui successivi bilanci</w:t>
      </w:r>
      <w:r w:rsidR="00691B77">
        <w:rPr>
          <w:rFonts w:cstheme="minorHAnsi"/>
        </w:rPr>
        <w:t>.</w:t>
      </w:r>
    </w:p>
    <w:p w14:paraId="56AB9745" w14:textId="55C19257" w:rsidR="001B0DD6" w:rsidRPr="005A2FBC" w:rsidRDefault="00691B77" w:rsidP="00C764F4">
      <w:pPr>
        <w:spacing w:after="0" w:line="240" w:lineRule="auto"/>
        <w:rPr>
          <w:rFonts w:cstheme="minorHAnsi"/>
        </w:rPr>
      </w:pPr>
      <w:r>
        <w:rPr>
          <w:rFonts w:cstheme="minorHAnsi"/>
        </w:rPr>
        <w:t xml:space="preserve">Ebbene, nel modulario in questione </w:t>
      </w:r>
      <w:r w:rsidR="00894D2E">
        <w:rPr>
          <w:rFonts w:cstheme="minorHAnsi"/>
        </w:rPr>
        <w:t>è contenuta la seguente precisazione:</w:t>
      </w:r>
    </w:p>
    <w:p w14:paraId="055F74FA" w14:textId="77777777" w:rsidR="00FD4760" w:rsidRDefault="00FD4760" w:rsidP="00C764F4">
      <w:pPr>
        <w:spacing w:after="0" w:line="240" w:lineRule="auto"/>
        <w:rPr>
          <w:rFonts w:cstheme="minorHAnsi"/>
          <w:i/>
          <w:iCs/>
          <w:sz w:val="20"/>
          <w:szCs w:val="20"/>
        </w:rPr>
      </w:pPr>
    </w:p>
    <w:p w14:paraId="1745819D" w14:textId="7D6817CC" w:rsidR="00C764F4" w:rsidRPr="00C764F4" w:rsidRDefault="00C764F4" w:rsidP="00C764F4">
      <w:pPr>
        <w:spacing w:after="0" w:line="240" w:lineRule="auto"/>
        <w:rPr>
          <w:rFonts w:cstheme="minorHAnsi"/>
          <w:i/>
          <w:iCs/>
          <w:sz w:val="20"/>
          <w:szCs w:val="20"/>
        </w:rPr>
      </w:pPr>
      <w:r w:rsidRPr="00C764F4">
        <w:rPr>
          <w:rFonts w:cstheme="minorHAnsi"/>
          <w:i/>
          <w:iCs/>
          <w:sz w:val="20"/>
          <w:szCs w:val="20"/>
        </w:rPr>
        <w:t>La modifica delle normative UE in materia di assicurazione sociale dei datori di lavoro e dei dipendenti potrebbe comportare un aumento dei costi. La legislazione europea</w:t>
      </w:r>
      <w:r w:rsidR="000F7ADE">
        <w:rPr>
          <w:rFonts w:cstheme="minorHAnsi"/>
          <w:i/>
          <w:iCs/>
          <w:sz w:val="20"/>
          <w:szCs w:val="20"/>
        </w:rPr>
        <w:t xml:space="preserve"> </w:t>
      </w:r>
      <w:r w:rsidRPr="00C764F4">
        <w:rPr>
          <w:rFonts w:cstheme="minorHAnsi"/>
          <w:i/>
          <w:iCs/>
          <w:sz w:val="20"/>
          <w:szCs w:val="20"/>
        </w:rPr>
        <w:t>disciplina il paese in cui i dipendenti e i datori di lavoro devono pagare i costi dell'assicurazione sociale. Ai sensi della</w:t>
      </w:r>
      <w:r w:rsidR="000F7ADE">
        <w:rPr>
          <w:rFonts w:cstheme="minorHAnsi"/>
          <w:i/>
          <w:iCs/>
          <w:sz w:val="20"/>
          <w:szCs w:val="20"/>
        </w:rPr>
        <w:t xml:space="preserve"> </w:t>
      </w:r>
      <w:r w:rsidRPr="00C764F4">
        <w:rPr>
          <w:rFonts w:cstheme="minorHAnsi"/>
          <w:i/>
          <w:iCs/>
          <w:sz w:val="20"/>
          <w:szCs w:val="20"/>
        </w:rPr>
        <w:t>legislazione introdotta nel 2012, i dipendenti e i datori di lavoro devono pagare l'assicurazione sociale nel Paese in cui il lavoratore</w:t>
      </w:r>
      <w:r w:rsidR="006B1F00">
        <w:rPr>
          <w:rFonts w:cstheme="minorHAnsi"/>
          <w:i/>
          <w:iCs/>
          <w:sz w:val="20"/>
          <w:szCs w:val="20"/>
        </w:rPr>
        <w:t xml:space="preserve"> è basato.</w:t>
      </w:r>
      <w:r w:rsidRPr="00C764F4">
        <w:rPr>
          <w:rFonts w:cstheme="minorHAnsi"/>
          <w:i/>
          <w:iCs/>
          <w:sz w:val="20"/>
          <w:szCs w:val="20"/>
        </w:rPr>
        <w:t xml:space="preserve"> Prima di giugno 2012, Ryanair pagava le assicurazioni sociali dei dipendenti e dei datori di lavoro nel Paese in cui era disciplinato il contratto di lavoro del dipendente</w:t>
      </w:r>
      <w:r w:rsidR="00082454">
        <w:rPr>
          <w:rFonts w:cstheme="minorHAnsi"/>
          <w:i/>
          <w:iCs/>
          <w:sz w:val="20"/>
          <w:szCs w:val="20"/>
        </w:rPr>
        <w:t xml:space="preserve"> </w:t>
      </w:r>
      <w:r w:rsidRPr="00C764F4">
        <w:rPr>
          <w:rFonts w:cstheme="minorHAnsi"/>
          <w:i/>
          <w:iCs/>
          <w:sz w:val="20"/>
          <w:szCs w:val="20"/>
        </w:rPr>
        <w:t>che era il Regno Unito o l'Irlanda. La legislazione introdotta nel</w:t>
      </w:r>
      <w:r w:rsidR="00732939">
        <w:rPr>
          <w:rFonts w:cstheme="minorHAnsi"/>
          <w:i/>
          <w:iCs/>
          <w:sz w:val="20"/>
          <w:szCs w:val="20"/>
        </w:rPr>
        <w:t xml:space="preserve"> </w:t>
      </w:r>
      <w:r w:rsidRPr="00C764F4">
        <w:rPr>
          <w:rFonts w:cstheme="minorHAnsi"/>
          <w:i/>
          <w:iCs/>
          <w:sz w:val="20"/>
          <w:szCs w:val="20"/>
        </w:rPr>
        <w:t>2012 prevedeva diritti di prelazione in base ai quali i dipendenti esistenti (cioè quelli assunti prima dell'introduzione della</w:t>
      </w:r>
      <w:r w:rsidR="00082454">
        <w:rPr>
          <w:rFonts w:cstheme="minorHAnsi"/>
          <w:i/>
          <w:iCs/>
          <w:sz w:val="20"/>
          <w:szCs w:val="20"/>
        </w:rPr>
        <w:t xml:space="preserve"> </w:t>
      </w:r>
      <w:r w:rsidRPr="00C764F4">
        <w:rPr>
          <w:rFonts w:cstheme="minorHAnsi"/>
          <w:i/>
          <w:iCs/>
          <w:sz w:val="20"/>
          <w:szCs w:val="20"/>
        </w:rPr>
        <w:t xml:space="preserve">nuova legislazione nel giugno 2012) </w:t>
      </w:r>
      <w:r w:rsidRPr="00C764F4">
        <w:rPr>
          <w:rFonts w:cstheme="minorHAnsi"/>
          <w:i/>
          <w:iCs/>
          <w:sz w:val="20"/>
          <w:szCs w:val="20"/>
        </w:rPr>
        <w:lastRenderedPageBreak/>
        <w:t>erano esenti dagli effetti della nuova legislazione per un periodo di 10 anni, fino al 2022, a condizione che non si trasferissero da una base all'altra.</w:t>
      </w:r>
    </w:p>
    <w:p w14:paraId="1917ACDB" w14:textId="38029F9A" w:rsidR="00C764F4" w:rsidRPr="00082454" w:rsidRDefault="00C764F4" w:rsidP="00C764F4">
      <w:pPr>
        <w:spacing w:after="0" w:line="240" w:lineRule="auto"/>
        <w:rPr>
          <w:rFonts w:cstheme="minorHAnsi"/>
          <w:color w:val="FF0000"/>
          <w:sz w:val="18"/>
          <w:szCs w:val="18"/>
        </w:rPr>
      </w:pPr>
      <w:r w:rsidRPr="00C764F4">
        <w:rPr>
          <w:rFonts w:cstheme="minorHAnsi"/>
          <w:i/>
          <w:iCs/>
          <w:sz w:val="20"/>
          <w:szCs w:val="20"/>
        </w:rPr>
        <w:t>Ogni Paese all'interno dell</w:t>
      </w:r>
      <w:r w:rsidR="00545A56">
        <w:rPr>
          <w:rFonts w:cstheme="minorHAnsi"/>
          <w:i/>
          <w:iCs/>
          <w:sz w:val="20"/>
          <w:szCs w:val="20"/>
        </w:rPr>
        <w:t>a</w:t>
      </w:r>
      <w:r w:rsidR="006B4AEE">
        <w:rPr>
          <w:rFonts w:cstheme="minorHAnsi"/>
          <w:i/>
          <w:iCs/>
          <w:sz w:val="20"/>
          <w:szCs w:val="20"/>
        </w:rPr>
        <w:t xml:space="preserve"> </w:t>
      </w:r>
      <w:r w:rsidRPr="00C764F4">
        <w:rPr>
          <w:rFonts w:cstheme="minorHAnsi"/>
          <w:i/>
          <w:iCs/>
          <w:sz w:val="20"/>
          <w:szCs w:val="20"/>
        </w:rPr>
        <w:t>UE ha regole e aliquote diverse in relazione al</w:t>
      </w:r>
      <w:r w:rsidR="00082454">
        <w:rPr>
          <w:rFonts w:cstheme="minorHAnsi"/>
          <w:i/>
          <w:iCs/>
          <w:sz w:val="20"/>
          <w:szCs w:val="20"/>
        </w:rPr>
        <w:t xml:space="preserve"> </w:t>
      </w:r>
      <w:r w:rsidRPr="00C764F4">
        <w:rPr>
          <w:rFonts w:cstheme="minorHAnsi"/>
          <w:i/>
          <w:iCs/>
          <w:sz w:val="20"/>
          <w:szCs w:val="20"/>
        </w:rPr>
        <w:t>calcolo dei contributi previdenziali a carico dei dipendenti e dei datori di lavoro e qualsiasi aumento delle aliquote dei contributi</w:t>
      </w:r>
      <w:r w:rsidR="00082454">
        <w:rPr>
          <w:rFonts w:cstheme="minorHAnsi"/>
          <w:i/>
          <w:iCs/>
          <w:sz w:val="20"/>
          <w:szCs w:val="20"/>
        </w:rPr>
        <w:t xml:space="preserve"> </w:t>
      </w:r>
      <w:r w:rsidRPr="00C764F4">
        <w:rPr>
          <w:rFonts w:cstheme="minorHAnsi"/>
          <w:i/>
          <w:iCs/>
          <w:sz w:val="20"/>
          <w:szCs w:val="20"/>
        </w:rPr>
        <w:t>avrà un effetto negativo significativo sui flussi di cassa, sulla posizione finanziaria e sui risultati operativi di Ryanair.</w:t>
      </w:r>
      <w:r w:rsidR="00082454">
        <w:rPr>
          <w:rFonts w:cstheme="minorHAnsi"/>
          <w:i/>
          <w:iCs/>
          <w:sz w:val="20"/>
          <w:szCs w:val="20"/>
        </w:rPr>
        <w:t xml:space="preserve"> </w:t>
      </w:r>
      <w:r w:rsidR="00082454">
        <w:rPr>
          <w:rFonts w:cstheme="minorHAnsi"/>
          <w:color w:val="FF0000"/>
          <w:sz w:val="18"/>
          <w:szCs w:val="18"/>
        </w:rPr>
        <w:t>(13)</w:t>
      </w:r>
    </w:p>
    <w:p w14:paraId="3C4EF9D7" w14:textId="77777777" w:rsidR="00C764F4" w:rsidRDefault="00C764F4" w:rsidP="00C764F4">
      <w:pPr>
        <w:rPr>
          <w:rFonts w:cstheme="minorHAnsi"/>
          <w:i/>
          <w:iCs/>
        </w:rPr>
      </w:pPr>
    </w:p>
    <w:p w14:paraId="7851AAA9" w14:textId="1CE724EF" w:rsidR="008676A7" w:rsidRPr="00CB422E" w:rsidRDefault="00262785" w:rsidP="00C764F4">
      <w:pPr>
        <w:rPr>
          <w:rFonts w:cstheme="minorHAnsi"/>
          <w:i/>
          <w:iCs/>
        </w:rPr>
      </w:pPr>
      <w:r>
        <w:rPr>
          <w:rFonts w:cstheme="minorHAnsi"/>
        </w:rPr>
        <w:t xml:space="preserve">La precisazione contenuta nel modello 20F </w:t>
      </w:r>
      <w:r w:rsidR="009B4D4E">
        <w:rPr>
          <w:rFonts w:cstheme="minorHAnsi"/>
        </w:rPr>
        <w:t xml:space="preserve">spiega perché </w:t>
      </w:r>
      <w:r w:rsidR="00D50DC0">
        <w:rPr>
          <w:rFonts w:cstheme="minorHAnsi"/>
        </w:rPr>
        <w:t>negli</w:t>
      </w:r>
      <w:r w:rsidR="009B4D4E">
        <w:rPr>
          <w:rFonts w:cstheme="minorHAnsi"/>
        </w:rPr>
        <w:t xml:space="preserve"> anni che vanno dal 2012 al 202</w:t>
      </w:r>
      <w:r w:rsidR="00EC1871">
        <w:rPr>
          <w:rFonts w:cstheme="minorHAnsi"/>
        </w:rPr>
        <w:t>2</w:t>
      </w:r>
      <w:r w:rsidR="009B4D4E">
        <w:rPr>
          <w:rFonts w:cstheme="minorHAnsi"/>
        </w:rPr>
        <w:t xml:space="preserve">, </w:t>
      </w:r>
      <w:r w:rsidR="003D7DF1">
        <w:rPr>
          <w:rFonts w:cstheme="minorHAnsi"/>
        </w:rPr>
        <w:t>l’incidenza dei</w:t>
      </w:r>
      <w:r w:rsidR="00E138DF">
        <w:rPr>
          <w:rFonts w:cstheme="minorHAnsi"/>
        </w:rPr>
        <w:t xml:space="preserve"> costi sociali per </w:t>
      </w:r>
      <w:proofErr w:type="gramStart"/>
      <w:r w:rsidR="00E138DF">
        <w:rPr>
          <w:rFonts w:cstheme="minorHAnsi"/>
        </w:rPr>
        <w:t>Ryanair  non</w:t>
      </w:r>
      <w:proofErr w:type="gramEnd"/>
      <w:r w:rsidR="00E138DF">
        <w:rPr>
          <w:rFonts w:cstheme="minorHAnsi"/>
        </w:rPr>
        <w:t xml:space="preserve"> ha subìto so</w:t>
      </w:r>
      <w:r w:rsidR="00EC1871">
        <w:rPr>
          <w:rFonts w:cstheme="minorHAnsi"/>
        </w:rPr>
        <w:t>s</w:t>
      </w:r>
      <w:r w:rsidR="00E138DF">
        <w:rPr>
          <w:rFonts w:cstheme="minorHAnsi"/>
        </w:rPr>
        <w:t>tanziali incrementi</w:t>
      </w:r>
      <w:r w:rsidR="00EC6147">
        <w:rPr>
          <w:rFonts w:cstheme="minorHAnsi"/>
        </w:rPr>
        <w:t xml:space="preserve">. Ciò </w:t>
      </w:r>
      <w:r w:rsidR="003B6A1E">
        <w:rPr>
          <w:rFonts w:cstheme="minorHAnsi"/>
        </w:rPr>
        <w:t>è</w:t>
      </w:r>
      <w:r w:rsidR="00EC6147">
        <w:rPr>
          <w:rFonts w:cstheme="minorHAnsi"/>
        </w:rPr>
        <w:t xml:space="preserve"> dovuto al particolare che la normativa comunitaria </w:t>
      </w:r>
      <w:r w:rsidR="003B6A1E">
        <w:rPr>
          <w:rFonts w:cstheme="minorHAnsi"/>
        </w:rPr>
        <w:t>-</w:t>
      </w:r>
      <w:r w:rsidR="00EC6147">
        <w:rPr>
          <w:rFonts w:cstheme="minorHAnsi"/>
        </w:rPr>
        <w:t>emessa anch’essa nel 2012</w:t>
      </w:r>
      <w:r w:rsidR="003B6A1E">
        <w:rPr>
          <w:rFonts w:cstheme="minorHAnsi"/>
        </w:rPr>
        <w:t>-</w:t>
      </w:r>
      <w:r w:rsidR="00EC6147">
        <w:rPr>
          <w:rFonts w:cstheme="minorHAnsi"/>
        </w:rPr>
        <w:t xml:space="preserve"> avvertiva che </w:t>
      </w:r>
      <w:r w:rsidR="00DD568D">
        <w:rPr>
          <w:rFonts w:cstheme="minorHAnsi"/>
        </w:rPr>
        <w:t xml:space="preserve">per </w:t>
      </w:r>
      <w:r w:rsidR="00EC6147">
        <w:rPr>
          <w:rFonts w:cstheme="minorHAnsi"/>
        </w:rPr>
        <w:t>quei dipendenti</w:t>
      </w:r>
      <w:r w:rsidR="00DD568D">
        <w:rPr>
          <w:rFonts w:cstheme="minorHAnsi"/>
        </w:rPr>
        <w:t xml:space="preserve"> che</w:t>
      </w:r>
      <w:r w:rsidR="00EC6147">
        <w:rPr>
          <w:rFonts w:cstheme="minorHAnsi"/>
        </w:rPr>
        <w:t xml:space="preserve"> erano già in for</w:t>
      </w:r>
      <w:r w:rsidR="000B7ADB">
        <w:rPr>
          <w:rFonts w:cstheme="minorHAnsi"/>
        </w:rPr>
        <w:t xml:space="preserve">za alla compagnia nell’anno 2012 </w:t>
      </w:r>
      <w:r w:rsidR="00DD568D">
        <w:rPr>
          <w:rFonts w:cstheme="minorHAnsi"/>
        </w:rPr>
        <w:t xml:space="preserve">Ryanair </w:t>
      </w:r>
      <w:r w:rsidR="000B7ADB">
        <w:rPr>
          <w:rFonts w:cstheme="minorHAnsi"/>
        </w:rPr>
        <w:t xml:space="preserve">avrebbe dovuto iniziare a pagare i contributi locali al termine di 10 anni di </w:t>
      </w:r>
      <w:r w:rsidR="003B6A1E">
        <w:rPr>
          <w:rFonts w:cstheme="minorHAnsi"/>
        </w:rPr>
        <w:t>periodo-</w:t>
      </w:r>
      <w:r w:rsidR="000B7ADB">
        <w:rPr>
          <w:rFonts w:cstheme="minorHAnsi"/>
        </w:rPr>
        <w:t>cuscinetto</w:t>
      </w:r>
      <w:r w:rsidR="00842FB5">
        <w:rPr>
          <w:rFonts w:cstheme="minorHAnsi"/>
        </w:rPr>
        <w:t xml:space="preserve"> ovvero a partire dal 2023. </w:t>
      </w:r>
      <w:r w:rsidR="00E6607C">
        <w:rPr>
          <w:rFonts w:cstheme="minorHAnsi"/>
        </w:rPr>
        <w:t>In pratica</w:t>
      </w:r>
      <w:r w:rsidR="00B02295">
        <w:rPr>
          <w:rFonts w:cstheme="minorHAnsi"/>
        </w:rPr>
        <w:t xml:space="preserve"> anche</w:t>
      </w:r>
      <w:r w:rsidR="004B7B67">
        <w:rPr>
          <w:rFonts w:cstheme="minorHAnsi"/>
        </w:rPr>
        <w:t xml:space="preserve"> </w:t>
      </w:r>
      <w:r w:rsidR="00312CC0">
        <w:rPr>
          <w:rFonts w:cstheme="minorHAnsi"/>
        </w:rPr>
        <w:t>i legislatori comunitari av</w:t>
      </w:r>
      <w:r w:rsidR="00D224C4">
        <w:rPr>
          <w:rFonts w:cstheme="minorHAnsi"/>
        </w:rPr>
        <w:t>e</w:t>
      </w:r>
      <w:r w:rsidR="00312CC0">
        <w:rPr>
          <w:rFonts w:cstheme="minorHAnsi"/>
        </w:rPr>
        <w:t>v</w:t>
      </w:r>
      <w:r w:rsidR="00D224C4">
        <w:rPr>
          <w:rFonts w:cstheme="minorHAnsi"/>
        </w:rPr>
        <w:t>a</w:t>
      </w:r>
      <w:r w:rsidR="00312CC0">
        <w:rPr>
          <w:rFonts w:cstheme="minorHAnsi"/>
        </w:rPr>
        <w:t xml:space="preserve">no </w:t>
      </w:r>
      <w:r w:rsidR="00D224C4">
        <w:rPr>
          <w:rFonts w:cstheme="minorHAnsi"/>
        </w:rPr>
        <w:t>provveduto a</w:t>
      </w:r>
      <w:r w:rsidR="00154E09">
        <w:rPr>
          <w:rFonts w:cstheme="minorHAnsi"/>
        </w:rPr>
        <w:t xml:space="preserve"> emettere</w:t>
      </w:r>
      <w:r w:rsidR="00312CC0">
        <w:rPr>
          <w:rFonts w:cstheme="minorHAnsi"/>
        </w:rPr>
        <w:t xml:space="preserve"> norm</w:t>
      </w:r>
      <w:r w:rsidR="00154E09">
        <w:rPr>
          <w:rFonts w:cstheme="minorHAnsi"/>
        </w:rPr>
        <w:t>ativa</w:t>
      </w:r>
      <w:r w:rsidR="00312CC0">
        <w:rPr>
          <w:rFonts w:cstheme="minorHAnsi"/>
        </w:rPr>
        <w:t xml:space="preserve"> analog</w:t>
      </w:r>
      <w:r w:rsidR="00154E09">
        <w:rPr>
          <w:rFonts w:cstheme="minorHAnsi"/>
        </w:rPr>
        <w:t>a</w:t>
      </w:r>
      <w:r w:rsidR="00312CC0">
        <w:rPr>
          <w:rFonts w:cstheme="minorHAnsi"/>
        </w:rPr>
        <w:t xml:space="preserve"> a quell</w:t>
      </w:r>
      <w:r w:rsidR="00154E09">
        <w:rPr>
          <w:rFonts w:cstheme="minorHAnsi"/>
        </w:rPr>
        <w:t xml:space="preserve">a </w:t>
      </w:r>
      <w:r w:rsidR="00312CC0">
        <w:rPr>
          <w:rFonts w:cstheme="minorHAnsi"/>
        </w:rPr>
        <w:t>contenut</w:t>
      </w:r>
      <w:r w:rsidR="00154E09">
        <w:rPr>
          <w:rFonts w:cstheme="minorHAnsi"/>
        </w:rPr>
        <w:t>a</w:t>
      </w:r>
      <w:r w:rsidR="00312CC0">
        <w:rPr>
          <w:rFonts w:cstheme="minorHAnsi"/>
        </w:rPr>
        <w:t xml:space="preserve"> nel decreto Monti </w:t>
      </w:r>
      <w:r w:rsidR="00C44DAC" w:rsidRPr="00C44DAC">
        <w:rPr>
          <w:rFonts w:cstheme="minorHAnsi"/>
          <w:color w:val="FF0000"/>
          <w:sz w:val="18"/>
          <w:szCs w:val="18"/>
        </w:rPr>
        <w:t>(14</w:t>
      </w:r>
      <w:proofErr w:type="gramStart"/>
      <w:r w:rsidR="00C44DAC" w:rsidRPr="00C44DAC">
        <w:rPr>
          <w:rFonts w:cstheme="minorHAnsi"/>
          <w:color w:val="FF0000"/>
          <w:sz w:val="18"/>
          <w:szCs w:val="18"/>
        </w:rPr>
        <w:t>)</w:t>
      </w:r>
      <w:r w:rsidR="00C44DAC" w:rsidRPr="00C44DAC">
        <w:rPr>
          <w:rFonts w:cstheme="minorHAnsi"/>
          <w:color w:val="FF0000"/>
        </w:rPr>
        <w:t xml:space="preserve"> </w:t>
      </w:r>
      <w:r w:rsidR="00312CC0">
        <w:rPr>
          <w:rFonts w:cstheme="minorHAnsi"/>
        </w:rPr>
        <w:t xml:space="preserve"> con</w:t>
      </w:r>
      <w:proofErr w:type="gramEnd"/>
      <w:r w:rsidR="00312CC0">
        <w:rPr>
          <w:rFonts w:cstheme="minorHAnsi"/>
        </w:rPr>
        <w:t xml:space="preserve"> la novità</w:t>
      </w:r>
      <w:r w:rsidR="000C1185">
        <w:rPr>
          <w:rFonts w:cstheme="minorHAnsi"/>
        </w:rPr>
        <w:t xml:space="preserve"> però</w:t>
      </w:r>
      <w:r w:rsidR="00312CC0">
        <w:rPr>
          <w:rFonts w:cstheme="minorHAnsi"/>
        </w:rPr>
        <w:t xml:space="preserve"> che ess</w:t>
      </w:r>
      <w:r w:rsidR="003D27B5">
        <w:rPr>
          <w:rFonts w:cstheme="minorHAnsi"/>
        </w:rPr>
        <w:t>a</w:t>
      </w:r>
      <w:r w:rsidR="00312CC0">
        <w:rPr>
          <w:rFonts w:cstheme="minorHAnsi"/>
        </w:rPr>
        <w:t xml:space="preserve"> sarebbe entrat</w:t>
      </w:r>
      <w:r w:rsidR="003D27B5">
        <w:rPr>
          <w:rFonts w:cstheme="minorHAnsi"/>
        </w:rPr>
        <w:t>a</w:t>
      </w:r>
      <w:r w:rsidR="00312CC0">
        <w:rPr>
          <w:rFonts w:cstheme="minorHAnsi"/>
        </w:rPr>
        <w:t xml:space="preserve"> in vigore </w:t>
      </w:r>
      <w:r w:rsidR="00751A31">
        <w:rPr>
          <w:rFonts w:cstheme="minorHAnsi"/>
        </w:rPr>
        <w:t>a partire dal</w:t>
      </w:r>
      <w:r w:rsidR="00312CC0">
        <w:rPr>
          <w:rFonts w:cstheme="minorHAnsi"/>
        </w:rPr>
        <w:t xml:space="preserve"> 202</w:t>
      </w:r>
      <w:r w:rsidR="00751A31">
        <w:rPr>
          <w:rFonts w:cstheme="minorHAnsi"/>
        </w:rPr>
        <w:t>3</w:t>
      </w:r>
      <w:r w:rsidR="002665DA">
        <w:rPr>
          <w:rFonts w:cstheme="minorHAnsi"/>
        </w:rPr>
        <w:t>.</w:t>
      </w:r>
      <w:r w:rsidR="008C44A7">
        <w:rPr>
          <w:rFonts w:cstheme="minorHAnsi"/>
        </w:rPr>
        <w:t xml:space="preserve"> </w:t>
      </w:r>
      <w:r w:rsidR="003B6A1E">
        <w:rPr>
          <w:rFonts w:cstheme="minorHAnsi"/>
        </w:rPr>
        <w:t>Ricordando che</w:t>
      </w:r>
      <w:r w:rsidR="00782211">
        <w:rPr>
          <w:rFonts w:cstheme="minorHAnsi"/>
        </w:rPr>
        <w:t xml:space="preserve"> Ryanair per i suoi bilanci osser</w:t>
      </w:r>
      <w:r w:rsidR="003D27B5">
        <w:rPr>
          <w:rFonts w:cstheme="minorHAnsi"/>
        </w:rPr>
        <w:t>v</w:t>
      </w:r>
      <w:r w:rsidR="00782211">
        <w:rPr>
          <w:rFonts w:cstheme="minorHAnsi"/>
        </w:rPr>
        <w:t xml:space="preserve">a il periodo </w:t>
      </w:r>
      <w:proofErr w:type="gramStart"/>
      <w:r w:rsidR="00782211">
        <w:rPr>
          <w:rFonts w:cstheme="minorHAnsi"/>
        </w:rPr>
        <w:t>Aprile:Marzo</w:t>
      </w:r>
      <w:proofErr w:type="gramEnd"/>
      <w:r w:rsidR="002255C2">
        <w:rPr>
          <w:rFonts w:cstheme="minorHAnsi"/>
        </w:rPr>
        <w:t xml:space="preserve">, </w:t>
      </w:r>
      <w:r w:rsidR="00642087">
        <w:rPr>
          <w:rFonts w:cstheme="minorHAnsi"/>
        </w:rPr>
        <w:t>ciò significa che</w:t>
      </w:r>
      <w:r w:rsidR="002665DA">
        <w:rPr>
          <w:rFonts w:cstheme="minorHAnsi"/>
        </w:rPr>
        <w:t xml:space="preserve"> </w:t>
      </w:r>
      <w:r w:rsidR="008C44A7">
        <w:rPr>
          <w:rFonts w:cstheme="minorHAnsi"/>
        </w:rPr>
        <w:t>a part</w:t>
      </w:r>
      <w:r w:rsidR="00A51FBA">
        <w:rPr>
          <w:rFonts w:cstheme="minorHAnsi"/>
        </w:rPr>
        <w:t>i</w:t>
      </w:r>
      <w:r w:rsidR="008C44A7">
        <w:rPr>
          <w:rFonts w:cstheme="minorHAnsi"/>
        </w:rPr>
        <w:t>re dal</w:t>
      </w:r>
      <w:r w:rsidR="00A51FBA">
        <w:rPr>
          <w:rFonts w:cstheme="minorHAnsi"/>
        </w:rPr>
        <w:t xml:space="preserve"> primo gennaio 2023</w:t>
      </w:r>
      <w:r w:rsidR="00A267C4">
        <w:rPr>
          <w:rFonts w:cstheme="minorHAnsi"/>
        </w:rPr>
        <w:t xml:space="preserve"> nel bilancio della più grande compagnia low cost d’Europa</w:t>
      </w:r>
      <w:r w:rsidR="00A51FBA">
        <w:rPr>
          <w:rFonts w:cstheme="minorHAnsi"/>
        </w:rPr>
        <w:t xml:space="preserve"> </w:t>
      </w:r>
      <w:r w:rsidR="00CB5E7E">
        <w:rPr>
          <w:rFonts w:cstheme="minorHAnsi"/>
        </w:rPr>
        <w:t xml:space="preserve"> dovrebbe </w:t>
      </w:r>
      <w:r w:rsidR="002255C2">
        <w:rPr>
          <w:rFonts w:cstheme="minorHAnsi"/>
        </w:rPr>
        <w:t>trovar applicazione</w:t>
      </w:r>
      <w:r w:rsidR="00CB5E7E">
        <w:rPr>
          <w:rFonts w:cstheme="minorHAnsi"/>
        </w:rPr>
        <w:t xml:space="preserve"> la nuova normativa</w:t>
      </w:r>
      <w:r w:rsidR="00BC5EFB">
        <w:rPr>
          <w:rFonts w:cstheme="minorHAnsi"/>
        </w:rPr>
        <w:t xml:space="preserve"> </w:t>
      </w:r>
      <w:r w:rsidR="00BC5EFB" w:rsidRPr="00B85005">
        <w:rPr>
          <w:rFonts w:cstheme="minorHAnsi"/>
          <w:b/>
          <w:bCs/>
        </w:rPr>
        <w:t>in base alla quale tutti i suoi dipendenti impiegati nelle basi saranno assoggettati a normativa locale</w:t>
      </w:r>
      <w:r w:rsidR="002255C2" w:rsidRPr="00B85005">
        <w:rPr>
          <w:rFonts w:cstheme="minorHAnsi"/>
          <w:b/>
          <w:bCs/>
        </w:rPr>
        <w:t>.</w:t>
      </w:r>
      <w:r w:rsidR="00A267C4" w:rsidRPr="00B85005">
        <w:rPr>
          <w:rFonts w:cstheme="minorHAnsi"/>
          <w:b/>
          <w:bCs/>
        </w:rPr>
        <w:t xml:space="preserve"> </w:t>
      </w:r>
      <w:r w:rsidR="00B85005" w:rsidRPr="00B85005">
        <w:rPr>
          <w:rFonts w:cstheme="minorHAnsi"/>
          <w:b/>
          <w:bCs/>
        </w:rPr>
        <w:t xml:space="preserve"> </w:t>
      </w:r>
      <w:r w:rsidR="00E25CA4">
        <w:rPr>
          <w:rFonts w:cstheme="minorHAnsi"/>
        </w:rPr>
        <w:t xml:space="preserve"> </w:t>
      </w:r>
      <w:r w:rsidR="002B19F8">
        <w:rPr>
          <w:rFonts w:cstheme="minorHAnsi"/>
        </w:rPr>
        <w:t>La domanda che a questo punto è le</w:t>
      </w:r>
      <w:r w:rsidR="00BE57B1">
        <w:rPr>
          <w:rFonts w:cstheme="minorHAnsi"/>
        </w:rPr>
        <w:t>c</w:t>
      </w:r>
      <w:r w:rsidR="002B19F8">
        <w:rPr>
          <w:rFonts w:cstheme="minorHAnsi"/>
        </w:rPr>
        <w:t xml:space="preserve">ito </w:t>
      </w:r>
      <w:r w:rsidR="00EE03EE">
        <w:rPr>
          <w:rFonts w:cstheme="minorHAnsi"/>
        </w:rPr>
        <w:t>porsi</w:t>
      </w:r>
      <w:r w:rsidR="002B19F8">
        <w:rPr>
          <w:rFonts w:cstheme="minorHAnsi"/>
        </w:rPr>
        <w:t xml:space="preserve"> </w:t>
      </w:r>
      <w:proofErr w:type="gramStart"/>
      <w:r w:rsidR="002B19F8">
        <w:rPr>
          <w:rFonts w:cstheme="minorHAnsi"/>
        </w:rPr>
        <w:t xml:space="preserve">è </w:t>
      </w:r>
      <w:r w:rsidR="00BE57B1">
        <w:rPr>
          <w:rFonts w:cstheme="minorHAnsi"/>
        </w:rPr>
        <w:t xml:space="preserve"> </w:t>
      </w:r>
      <w:r w:rsidR="002B19F8">
        <w:rPr>
          <w:rFonts w:cstheme="minorHAnsi"/>
        </w:rPr>
        <w:t>la</w:t>
      </w:r>
      <w:proofErr w:type="gramEnd"/>
      <w:r w:rsidR="002B19F8">
        <w:rPr>
          <w:rFonts w:cstheme="minorHAnsi"/>
        </w:rPr>
        <w:t xml:space="preserve"> seguente</w:t>
      </w:r>
      <w:r w:rsidR="00A16E2F">
        <w:rPr>
          <w:rFonts w:cstheme="minorHAnsi"/>
        </w:rPr>
        <w:t xml:space="preserve">: </w:t>
      </w:r>
      <w:r w:rsidR="00456483" w:rsidRPr="00CB422E">
        <w:rPr>
          <w:rFonts w:cstheme="minorHAnsi"/>
          <w:i/>
          <w:iCs/>
        </w:rPr>
        <w:t xml:space="preserve">l’adeguamento che </w:t>
      </w:r>
      <w:r w:rsidR="005F18A4" w:rsidRPr="00CB422E">
        <w:rPr>
          <w:rFonts w:cstheme="minorHAnsi"/>
          <w:i/>
          <w:iCs/>
        </w:rPr>
        <w:t>le compagnie low cost c</w:t>
      </w:r>
      <w:r w:rsidR="00CB422E">
        <w:rPr>
          <w:rFonts w:cstheme="minorHAnsi"/>
          <w:i/>
          <w:iCs/>
        </w:rPr>
        <w:t>on</w:t>
      </w:r>
      <w:r w:rsidR="005F18A4" w:rsidRPr="00CB422E">
        <w:rPr>
          <w:rFonts w:cstheme="minorHAnsi"/>
          <w:i/>
          <w:iCs/>
        </w:rPr>
        <w:t xml:space="preserve"> basi nella UE dovranno obbligatoriamente condurre</w:t>
      </w:r>
      <w:r w:rsidR="00E018E0">
        <w:rPr>
          <w:rFonts w:cstheme="minorHAnsi"/>
          <w:i/>
          <w:iCs/>
        </w:rPr>
        <w:t xml:space="preserve"> </w:t>
      </w:r>
      <w:r w:rsidR="00CB422E">
        <w:rPr>
          <w:rFonts w:cstheme="minorHAnsi"/>
          <w:i/>
          <w:iCs/>
        </w:rPr>
        <w:t>nei confronti dei</w:t>
      </w:r>
      <w:r w:rsidR="00E018E0">
        <w:rPr>
          <w:rFonts w:cstheme="minorHAnsi"/>
          <w:i/>
          <w:iCs/>
        </w:rPr>
        <w:t xml:space="preserve"> costi sociali</w:t>
      </w:r>
      <w:r w:rsidR="00B404D6">
        <w:rPr>
          <w:rFonts w:cstheme="minorHAnsi"/>
          <w:i/>
          <w:iCs/>
        </w:rPr>
        <w:t>,</w:t>
      </w:r>
      <w:r w:rsidR="00E018E0">
        <w:rPr>
          <w:rFonts w:cstheme="minorHAnsi"/>
          <w:i/>
          <w:iCs/>
        </w:rPr>
        <w:t xml:space="preserve"> significherà</w:t>
      </w:r>
      <w:r w:rsidR="00A16E2F" w:rsidRPr="00CB422E">
        <w:rPr>
          <w:rFonts w:cstheme="minorHAnsi"/>
          <w:i/>
          <w:iCs/>
        </w:rPr>
        <w:t xml:space="preserve"> un aumento delle tariffe applicate</w:t>
      </w:r>
      <w:r w:rsidR="00473300" w:rsidRPr="00CB422E">
        <w:rPr>
          <w:rFonts w:cstheme="minorHAnsi"/>
          <w:i/>
          <w:iCs/>
        </w:rPr>
        <w:t xml:space="preserve"> da Ryanair e da tutti i vettori</w:t>
      </w:r>
      <w:r w:rsidR="0041713E" w:rsidRPr="00CB422E">
        <w:rPr>
          <w:rFonts w:cstheme="minorHAnsi"/>
          <w:i/>
          <w:iCs/>
        </w:rPr>
        <w:t xml:space="preserve"> low cost</w:t>
      </w:r>
      <w:r w:rsidR="00473300" w:rsidRPr="00CB422E">
        <w:rPr>
          <w:rFonts w:cstheme="minorHAnsi"/>
          <w:i/>
          <w:iCs/>
        </w:rPr>
        <w:t xml:space="preserve"> che hanno </w:t>
      </w:r>
      <w:r w:rsidR="0041713E" w:rsidRPr="00CB422E">
        <w:rPr>
          <w:rFonts w:cstheme="minorHAnsi"/>
          <w:i/>
          <w:iCs/>
        </w:rPr>
        <w:t xml:space="preserve">istituito </w:t>
      </w:r>
      <w:r w:rsidR="00473300" w:rsidRPr="00CB422E">
        <w:rPr>
          <w:rFonts w:cstheme="minorHAnsi"/>
          <w:i/>
          <w:iCs/>
        </w:rPr>
        <w:t>basi</w:t>
      </w:r>
      <w:r w:rsidR="0041713E" w:rsidRPr="00CB422E">
        <w:rPr>
          <w:rFonts w:cstheme="minorHAnsi"/>
          <w:i/>
          <w:iCs/>
        </w:rPr>
        <w:t xml:space="preserve"> nei nostri aeroporti</w:t>
      </w:r>
      <w:r w:rsidR="00A16E2F" w:rsidRPr="00CB422E">
        <w:rPr>
          <w:rFonts w:cstheme="minorHAnsi"/>
          <w:i/>
          <w:iCs/>
        </w:rPr>
        <w:t>?</w:t>
      </w:r>
    </w:p>
    <w:p w14:paraId="0F74EC3E" w14:textId="1DC92E67" w:rsidR="00060EFE" w:rsidRPr="00060EFE" w:rsidRDefault="00060EFE" w:rsidP="00C764F4">
      <w:pPr>
        <w:rPr>
          <w:rFonts w:cstheme="minorHAnsi"/>
        </w:rPr>
      </w:pPr>
      <w:r>
        <w:rPr>
          <w:rFonts w:cstheme="minorHAnsi"/>
        </w:rPr>
        <w:t>Di certo quello che si può dire è che</w:t>
      </w:r>
      <w:r w:rsidR="003564C2">
        <w:rPr>
          <w:rFonts w:cstheme="minorHAnsi"/>
        </w:rPr>
        <w:t xml:space="preserve"> finalmente</w:t>
      </w:r>
      <w:r>
        <w:rPr>
          <w:rFonts w:cstheme="minorHAnsi"/>
        </w:rPr>
        <w:t xml:space="preserve"> avremo quel “campo livellato” da più parti</w:t>
      </w:r>
      <w:r w:rsidR="003505CC">
        <w:rPr>
          <w:rFonts w:cstheme="minorHAnsi"/>
        </w:rPr>
        <w:t xml:space="preserve"> auspicato e dovrebbe </w:t>
      </w:r>
      <w:r w:rsidR="002B2F53">
        <w:rPr>
          <w:rFonts w:cstheme="minorHAnsi"/>
        </w:rPr>
        <w:t xml:space="preserve">pertanto </w:t>
      </w:r>
      <w:r w:rsidR="0094400A">
        <w:rPr>
          <w:rFonts w:cstheme="minorHAnsi"/>
        </w:rPr>
        <w:t>cessare</w:t>
      </w:r>
      <w:r w:rsidR="003505CC">
        <w:rPr>
          <w:rFonts w:cstheme="minorHAnsi"/>
        </w:rPr>
        <w:t xml:space="preserve"> la polemica sul trattamento di favore riservato ai vettori low cost.</w:t>
      </w:r>
    </w:p>
    <w:p w14:paraId="0092AD4D" w14:textId="77777777" w:rsidR="00082454" w:rsidRPr="007615BB" w:rsidRDefault="00082454" w:rsidP="00600242">
      <w:pPr>
        <w:rPr>
          <w:rFonts w:cstheme="minorHAnsi"/>
        </w:rPr>
      </w:pPr>
    </w:p>
    <w:p w14:paraId="5E6C2A19" w14:textId="7697EFF9" w:rsidR="00600242" w:rsidRDefault="00600242" w:rsidP="00600242"/>
    <w:p w14:paraId="3DDE1D11" w14:textId="7F1C1D9C" w:rsidR="00600242" w:rsidRDefault="00600242" w:rsidP="00616D19">
      <w:pPr>
        <w:pStyle w:val="Paragrafoelenco"/>
        <w:numPr>
          <w:ilvl w:val="0"/>
          <w:numId w:val="1"/>
        </w:numPr>
        <w:spacing w:line="240" w:lineRule="auto"/>
        <w:rPr>
          <w:sz w:val="20"/>
          <w:szCs w:val="20"/>
        </w:rPr>
      </w:pPr>
      <w:r>
        <w:rPr>
          <w:sz w:val="20"/>
          <w:szCs w:val="20"/>
        </w:rPr>
        <w:t>Tabella tratta da:</w:t>
      </w:r>
      <w:r w:rsidRPr="00600242">
        <w:t xml:space="preserve"> </w:t>
      </w:r>
      <w:hyperlink r:id="rId7" w:history="1">
        <w:r w:rsidR="00CD0A34" w:rsidRPr="00F8764A">
          <w:rPr>
            <w:rStyle w:val="Collegamentoipertestuale"/>
            <w:sz w:val="20"/>
            <w:szCs w:val="20"/>
          </w:rPr>
          <w:t>https://www.mcgill.ca/iasl/files/iasl/aspl_633_dempsey_air_traffic_rights.pdf</w:t>
        </w:r>
      </w:hyperlink>
    </w:p>
    <w:p w14:paraId="75D859C6" w14:textId="51F85416" w:rsidR="00CD0A34" w:rsidRDefault="00D74381" w:rsidP="00616D19">
      <w:pPr>
        <w:pStyle w:val="Paragrafoelenco"/>
        <w:numPr>
          <w:ilvl w:val="0"/>
          <w:numId w:val="1"/>
        </w:numPr>
        <w:spacing w:line="240" w:lineRule="auto"/>
        <w:rPr>
          <w:sz w:val="20"/>
          <w:szCs w:val="20"/>
        </w:rPr>
      </w:pPr>
      <w:r w:rsidRPr="00784D5C">
        <w:rPr>
          <w:sz w:val="20"/>
          <w:szCs w:val="20"/>
        </w:rPr>
        <w:t xml:space="preserve">Altri esempi di quinte libertà in vigore in Europa sono: </w:t>
      </w:r>
      <w:r w:rsidR="00CD0A34" w:rsidRPr="00784D5C">
        <w:rPr>
          <w:sz w:val="20"/>
          <w:szCs w:val="20"/>
        </w:rPr>
        <w:t>G</w:t>
      </w:r>
      <w:r w:rsidR="00BB34E6" w:rsidRPr="00784D5C">
        <w:rPr>
          <w:sz w:val="20"/>
          <w:szCs w:val="20"/>
        </w:rPr>
        <w:t xml:space="preserve">ulf Air: Larnaca-Atene; </w:t>
      </w:r>
      <w:r w:rsidR="00652F8B" w:rsidRPr="00784D5C">
        <w:rPr>
          <w:sz w:val="20"/>
          <w:szCs w:val="20"/>
        </w:rPr>
        <w:t xml:space="preserve">Ethiopian Airlines: Stoccolma-Oslo e </w:t>
      </w:r>
      <w:r w:rsidR="00C627CD" w:rsidRPr="00784D5C">
        <w:rPr>
          <w:sz w:val="20"/>
          <w:szCs w:val="20"/>
        </w:rPr>
        <w:t>Ginevra-Manchester; Emirates: Malta-Larnaca</w:t>
      </w:r>
      <w:r w:rsidR="00A54D75" w:rsidRPr="00784D5C">
        <w:rPr>
          <w:sz w:val="20"/>
          <w:szCs w:val="20"/>
        </w:rPr>
        <w:t xml:space="preserve"> e la Milano-Barcellona.</w:t>
      </w:r>
      <w:r w:rsidR="00DD428A" w:rsidRPr="00784D5C">
        <w:rPr>
          <w:sz w:val="20"/>
          <w:szCs w:val="20"/>
        </w:rPr>
        <w:t xml:space="preserve"> </w:t>
      </w:r>
    </w:p>
    <w:p w14:paraId="6B5E4648" w14:textId="738E8296" w:rsidR="00AC4B2B" w:rsidRDefault="00E018D5" w:rsidP="00616D19">
      <w:pPr>
        <w:pStyle w:val="Paragrafoelenco"/>
        <w:numPr>
          <w:ilvl w:val="0"/>
          <w:numId w:val="1"/>
        </w:numPr>
        <w:spacing w:line="240" w:lineRule="auto"/>
        <w:rPr>
          <w:sz w:val="20"/>
          <w:szCs w:val="20"/>
        </w:rPr>
      </w:pPr>
      <w:r>
        <w:rPr>
          <w:sz w:val="20"/>
          <w:szCs w:val="20"/>
        </w:rPr>
        <w:t xml:space="preserve">La ricerca è stata </w:t>
      </w:r>
      <w:r w:rsidR="0060502A">
        <w:rPr>
          <w:sz w:val="20"/>
          <w:szCs w:val="20"/>
        </w:rPr>
        <w:t>svolta</w:t>
      </w:r>
      <w:r>
        <w:rPr>
          <w:sz w:val="20"/>
          <w:szCs w:val="20"/>
        </w:rPr>
        <w:t xml:space="preserve"> il giorno 25/9/22 con particolare riguardo all’area del Tirreno.</w:t>
      </w:r>
    </w:p>
    <w:p w14:paraId="05B5F2F1" w14:textId="1CF7811D" w:rsidR="00E018D5" w:rsidRDefault="00E018D5" w:rsidP="00616D19">
      <w:pPr>
        <w:pStyle w:val="Paragrafoelenco"/>
        <w:numPr>
          <w:ilvl w:val="0"/>
          <w:numId w:val="1"/>
        </w:numPr>
        <w:spacing w:line="240" w:lineRule="auto"/>
        <w:rPr>
          <w:sz w:val="20"/>
          <w:szCs w:val="20"/>
        </w:rPr>
      </w:pPr>
      <w:r>
        <w:rPr>
          <w:sz w:val="20"/>
          <w:szCs w:val="20"/>
        </w:rPr>
        <w:t>E</w:t>
      </w:r>
      <w:r w:rsidR="001C02CB">
        <w:rPr>
          <w:sz w:val="20"/>
          <w:szCs w:val="20"/>
        </w:rPr>
        <w:t>N</w:t>
      </w:r>
      <w:r>
        <w:rPr>
          <w:sz w:val="20"/>
          <w:szCs w:val="20"/>
        </w:rPr>
        <w:t>AC</w:t>
      </w:r>
      <w:r w:rsidR="000A0862">
        <w:rPr>
          <w:sz w:val="20"/>
          <w:szCs w:val="20"/>
        </w:rPr>
        <w:t xml:space="preserve"> dati di traffico 2021</w:t>
      </w:r>
      <w:r>
        <w:rPr>
          <w:sz w:val="20"/>
          <w:szCs w:val="20"/>
        </w:rPr>
        <w:t>, Tabella LC3</w:t>
      </w:r>
      <w:r w:rsidR="001C02CB">
        <w:rPr>
          <w:sz w:val="20"/>
          <w:szCs w:val="20"/>
        </w:rPr>
        <w:t xml:space="preserve"> (pag.</w:t>
      </w:r>
      <w:r w:rsidR="000A0862">
        <w:rPr>
          <w:sz w:val="20"/>
          <w:szCs w:val="20"/>
        </w:rPr>
        <w:t>95)</w:t>
      </w:r>
    </w:p>
    <w:p w14:paraId="7DCC79E9" w14:textId="240D360B" w:rsidR="00B215B7" w:rsidRDefault="00B215B7" w:rsidP="00616D19">
      <w:pPr>
        <w:pStyle w:val="Paragrafoelenco"/>
        <w:numPr>
          <w:ilvl w:val="0"/>
          <w:numId w:val="1"/>
        </w:numPr>
        <w:spacing w:line="240" w:lineRule="auto"/>
        <w:rPr>
          <w:sz w:val="20"/>
          <w:szCs w:val="20"/>
        </w:rPr>
      </w:pPr>
      <w:r w:rsidRPr="00B215B7">
        <w:rPr>
          <w:i/>
          <w:iCs/>
          <w:sz w:val="20"/>
          <w:szCs w:val="20"/>
        </w:rPr>
        <w:t>Come 4)</w:t>
      </w:r>
      <w:r>
        <w:rPr>
          <w:sz w:val="20"/>
          <w:szCs w:val="20"/>
        </w:rPr>
        <w:t xml:space="preserve"> Tabella </w:t>
      </w:r>
      <w:r w:rsidR="006C2A41">
        <w:rPr>
          <w:sz w:val="20"/>
          <w:szCs w:val="20"/>
        </w:rPr>
        <w:t>VET3</w:t>
      </w:r>
      <w:r>
        <w:rPr>
          <w:sz w:val="20"/>
          <w:szCs w:val="20"/>
        </w:rPr>
        <w:t>, pag.</w:t>
      </w:r>
      <w:r w:rsidR="006C2A41">
        <w:rPr>
          <w:sz w:val="20"/>
          <w:szCs w:val="20"/>
        </w:rPr>
        <w:t>88.  Ricordarsi sempre</w:t>
      </w:r>
      <w:r w:rsidR="009E26B9">
        <w:rPr>
          <w:sz w:val="20"/>
          <w:szCs w:val="20"/>
        </w:rPr>
        <w:t xml:space="preserve"> che nel contare i passeggeri che hanno volato sulle tratte domestiche si contano solo le partenze.</w:t>
      </w:r>
    </w:p>
    <w:p w14:paraId="33800100" w14:textId="272EE633" w:rsidR="009C00D7" w:rsidRDefault="00162F4F" w:rsidP="00616D19">
      <w:pPr>
        <w:pStyle w:val="Paragrafoelenco"/>
        <w:numPr>
          <w:ilvl w:val="0"/>
          <w:numId w:val="1"/>
        </w:numPr>
        <w:spacing w:line="240" w:lineRule="auto"/>
        <w:rPr>
          <w:sz w:val="20"/>
          <w:szCs w:val="20"/>
        </w:rPr>
      </w:pPr>
      <w:r w:rsidRPr="00162F4F">
        <w:rPr>
          <w:sz w:val="20"/>
          <w:szCs w:val="20"/>
        </w:rPr>
        <w:t>Iberia detiene una partecipazione del 9,49% nel vettore low-cost Vueling, con sede nei pressi di Barcellona, mentre la società madre IAG possiede il restante 90,51%. Questo è stato fatto per garantire che IAG non abbia il 100% delle azioni di Vueling, ma che le azioni siano suddivise tra le sue divisioni.</w:t>
      </w:r>
    </w:p>
    <w:p w14:paraId="26CE3F58" w14:textId="13E10825" w:rsidR="00B82E35" w:rsidRPr="008747B9" w:rsidRDefault="00B82E35" w:rsidP="00616D19">
      <w:pPr>
        <w:pStyle w:val="Paragrafoelenco"/>
        <w:numPr>
          <w:ilvl w:val="0"/>
          <w:numId w:val="1"/>
        </w:numPr>
        <w:spacing w:line="240" w:lineRule="auto"/>
        <w:rPr>
          <w:sz w:val="20"/>
          <w:szCs w:val="20"/>
        </w:rPr>
      </w:pPr>
      <w:r w:rsidRPr="00B82E35">
        <w:rPr>
          <w:rFonts w:cstheme="minorHAnsi"/>
          <w:sz w:val="20"/>
          <w:szCs w:val="20"/>
        </w:rPr>
        <w:t>L’articolo in questione così terminava: “</w:t>
      </w:r>
      <w:r w:rsidRPr="00B82E35">
        <w:rPr>
          <w:rFonts w:cstheme="minorHAnsi"/>
          <w:sz w:val="20"/>
          <w:szCs w:val="20"/>
          <w:shd w:val="clear" w:color="auto" w:fill="FFFFFF"/>
        </w:rPr>
        <w:t>In deroga all'</w:t>
      </w:r>
      <w:hyperlink r:id="rId8" w:history="1">
        <w:r w:rsidRPr="00B82E35">
          <w:rPr>
            <w:rStyle w:val="Collegamentoipertestuale"/>
            <w:rFonts w:cstheme="minorHAnsi"/>
            <w:color w:val="auto"/>
            <w:sz w:val="20"/>
            <w:szCs w:val="20"/>
            <w:u w:val="none"/>
            <w:shd w:val="clear" w:color="auto" w:fill="FFFFFF"/>
          </w:rPr>
          <w:t>articolo 3 della legge 27 luglio 2000, n. 212</w:t>
        </w:r>
      </w:hyperlink>
      <w:r w:rsidRPr="00B82E35">
        <w:rPr>
          <w:rFonts w:cstheme="minorHAnsi"/>
          <w:sz w:val="20"/>
          <w:szCs w:val="20"/>
          <w:shd w:val="clear" w:color="auto" w:fill="FFFFFF"/>
        </w:rPr>
        <w:t>, il presente comma si applica a decorrere dal periodo di imposta in corso al 31 dicembre 2012.</w:t>
      </w:r>
      <w:r>
        <w:rPr>
          <w:rFonts w:cstheme="minorHAnsi"/>
          <w:sz w:val="20"/>
          <w:szCs w:val="20"/>
          <w:shd w:val="clear" w:color="auto" w:fill="FFFFFF"/>
        </w:rPr>
        <w:t>”</w:t>
      </w:r>
      <w:r w:rsidR="00B5550D">
        <w:rPr>
          <w:rFonts w:cstheme="minorHAnsi"/>
          <w:sz w:val="20"/>
          <w:szCs w:val="20"/>
          <w:shd w:val="clear" w:color="auto" w:fill="FFFFFF"/>
        </w:rPr>
        <w:t xml:space="preserve"> Il decreto 179/2012 si intitolava “Ulteriori misure urgenti per la crescita del Paese”</w:t>
      </w:r>
      <w:r w:rsidR="00607BA9">
        <w:rPr>
          <w:rFonts w:cstheme="minorHAnsi"/>
          <w:sz w:val="20"/>
          <w:szCs w:val="20"/>
          <w:shd w:val="clear" w:color="auto" w:fill="FFFFFF"/>
        </w:rPr>
        <w:t xml:space="preserve"> e fu pubblicato sulla G.U. </w:t>
      </w:r>
      <w:r w:rsidR="00616D19">
        <w:rPr>
          <w:rFonts w:cstheme="minorHAnsi"/>
          <w:sz w:val="20"/>
          <w:szCs w:val="20"/>
          <w:shd w:val="clear" w:color="auto" w:fill="FFFFFF"/>
        </w:rPr>
        <w:t>n.245 del 19 ottobre 2012.</w:t>
      </w:r>
    </w:p>
    <w:p w14:paraId="31A0FC89" w14:textId="0B21EE11" w:rsidR="008747B9" w:rsidRDefault="00BF44F1" w:rsidP="00616D19">
      <w:pPr>
        <w:pStyle w:val="Paragrafoelenco"/>
        <w:numPr>
          <w:ilvl w:val="0"/>
          <w:numId w:val="1"/>
        </w:numPr>
        <w:spacing w:line="240" w:lineRule="auto"/>
        <w:rPr>
          <w:sz w:val="20"/>
          <w:szCs w:val="20"/>
        </w:rPr>
      </w:pPr>
      <w:hyperlink r:id="rId9" w:history="1">
        <w:r w:rsidR="004100AD" w:rsidRPr="008C7341">
          <w:rPr>
            <w:rStyle w:val="Collegamentoipertestuale"/>
            <w:sz w:val="20"/>
            <w:szCs w:val="20"/>
          </w:rPr>
          <w:t>https://www.fulltravel.it/ryanair-norma-governo-monti-per-pagamento-contributi-e-tasse-al-via/19708/</w:t>
        </w:r>
      </w:hyperlink>
    </w:p>
    <w:p w14:paraId="69D3DB36" w14:textId="7396D88D" w:rsidR="004100AD" w:rsidRDefault="004100AD" w:rsidP="00616D19">
      <w:pPr>
        <w:pStyle w:val="Paragrafoelenco"/>
        <w:numPr>
          <w:ilvl w:val="0"/>
          <w:numId w:val="1"/>
        </w:numPr>
        <w:spacing w:line="240" w:lineRule="auto"/>
        <w:rPr>
          <w:sz w:val="20"/>
          <w:szCs w:val="20"/>
        </w:rPr>
      </w:pPr>
      <w:r>
        <w:rPr>
          <w:sz w:val="20"/>
          <w:szCs w:val="20"/>
        </w:rPr>
        <w:t xml:space="preserve">Circolare Agenzia delle Entrate n. 12/E del </w:t>
      </w:r>
      <w:r w:rsidR="00CF44B0">
        <w:rPr>
          <w:sz w:val="20"/>
          <w:szCs w:val="20"/>
        </w:rPr>
        <w:t>5 maggio 2013</w:t>
      </w:r>
    </w:p>
    <w:p w14:paraId="7624D4E8" w14:textId="2E5AA21D" w:rsidR="003E2AAF" w:rsidRDefault="003E2AAF" w:rsidP="00616D19">
      <w:pPr>
        <w:pStyle w:val="Paragrafoelenco"/>
        <w:numPr>
          <w:ilvl w:val="0"/>
          <w:numId w:val="1"/>
        </w:numPr>
        <w:spacing w:line="240" w:lineRule="auto"/>
        <w:rPr>
          <w:sz w:val="20"/>
          <w:szCs w:val="20"/>
        </w:rPr>
      </w:pPr>
      <w:r>
        <w:rPr>
          <w:sz w:val="20"/>
          <w:szCs w:val="20"/>
        </w:rPr>
        <w:t xml:space="preserve"> Al 31 dicembre 2012</w:t>
      </w:r>
      <w:r w:rsidR="006E3ECD">
        <w:rPr>
          <w:sz w:val="20"/>
          <w:szCs w:val="20"/>
        </w:rPr>
        <w:t xml:space="preserve"> le basi aperte in Italia erano su Alghero, </w:t>
      </w:r>
      <w:r w:rsidR="005F5EEC">
        <w:rPr>
          <w:sz w:val="20"/>
          <w:szCs w:val="20"/>
        </w:rPr>
        <w:t>B</w:t>
      </w:r>
      <w:r w:rsidR="006E3ECD">
        <w:rPr>
          <w:sz w:val="20"/>
          <w:szCs w:val="20"/>
        </w:rPr>
        <w:t>ari, Bologna, Brindisi, Cagliari, Bergamo</w:t>
      </w:r>
      <w:r w:rsidR="005F5EEC">
        <w:rPr>
          <w:sz w:val="20"/>
          <w:szCs w:val="20"/>
        </w:rPr>
        <w:t>,</w:t>
      </w:r>
      <w:r w:rsidR="006E3ECD">
        <w:rPr>
          <w:sz w:val="20"/>
          <w:szCs w:val="20"/>
        </w:rPr>
        <w:t xml:space="preserve"> Pescara, Pisa, Ciampino, Trapani</w:t>
      </w:r>
      <w:r w:rsidR="005F5EEC">
        <w:rPr>
          <w:sz w:val="20"/>
          <w:szCs w:val="20"/>
        </w:rPr>
        <w:t>.</w:t>
      </w:r>
    </w:p>
    <w:p w14:paraId="47B94304" w14:textId="0B0CD7B8" w:rsidR="00331FFC" w:rsidRPr="0069027E" w:rsidRDefault="00BF44F1" w:rsidP="00616D19">
      <w:pPr>
        <w:pStyle w:val="Paragrafoelenco"/>
        <w:numPr>
          <w:ilvl w:val="0"/>
          <w:numId w:val="1"/>
        </w:numPr>
        <w:spacing w:line="240" w:lineRule="auto"/>
        <w:rPr>
          <w:rStyle w:val="Collegamentoipertestuale"/>
          <w:color w:val="auto"/>
          <w:sz w:val="20"/>
          <w:szCs w:val="20"/>
          <w:u w:val="none"/>
        </w:rPr>
      </w:pPr>
      <w:hyperlink r:id="rId10" w:history="1">
        <w:r w:rsidR="003057C5" w:rsidRPr="000419E3">
          <w:rPr>
            <w:rStyle w:val="Collegamentoipertestuale"/>
            <w:sz w:val="20"/>
            <w:szCs w:val="20"/>
          </w:rPr>
          <w:t>https://www.corriere.it/economia/12_novembre_21/ryanair-fisco-decreto_18b7c88c-33d7-11e2-a480-b74fe153b15c.shtml</w:t>
        </w:r>
      </w:hyperlink>
    </w:p>
    <w:p w14:paraId="30BF236C" w14:textId="77E5D775" w:rsidR="003745C1" w:rsidRPr="003745C1" w:rsidRDefault="000D628A" w:rsidP="003745C1">
      <w:pPr>
        <w:pStyle w:val="Paragrafoelenco"/>
        <w:numPr>
          <w:ilvl w:val="0"/>
          <w:numId w:val="1"/>
        </w:numPr>
        <w:spacing w:line="240" w:lineRule="auto"/>
        <w:rPr>
          <w:sz w:val="20"/>
          <w:szCs w:val="20"/>
        </w:rPr>
      </w:pPr>
      <w:r>
        <w:rPr>
          <w:sz w:val="20"/>
          <w:szCs w:val="20"/>
        </w:rPr>
        <w:t>Si tratta di un voluminoso document</w:t>
      </w:r>
      <w:r w:rsidR="0063590E">
        <w:rPr>
          <w:sz w:val="20"/>
          <w:szCs w:val="20"/>
        </w:rPr>
        <w:t xml:space="preserve">o. </w:t>
      </w:r>
      <w:r w:rsidR="003745C1" w:rsidRPr="003745C1">
        <w:rPr>
          <w:sz w:val="20"/>
          <w:szCs w:val="20"/>
        </w:rPr>
        <w:t xml:space="preserve">Il modulo </w:t>
      </w:r>
      <w:r w:rsidR="00FB46C1">
        <w:rPr>
          <w:sz w:val="20"/>
          <w:szCs w:val="20"/>
        </w:rPr>
        <w:t>in questione</w:t>
      </w:r>
      <w:r w:rsidR="003745C1" w:rsidRPr="003745C1">
        <w:rPr>
          <w:sz w:val="20"/>
          <w:szCs w:val="20"/>
        </w:rPr>
        <w:t xml:space="preserve"> è un documento SEC presentato alla Securities and Exchange Commission degli Stati Uniti, utilizzato da </w:t>
      </w:r>
      <w:r w:rsidR="003745C1">
        <w:rPr>
          <w:sz w:val="20"/>
          <w:szCs w:val="20"/>
        </w:rPr>
        <w:t>società</w:t>
      </w:r>
      <w:r w:rsidR="003745C1" w:rsidRPr="003745C1">
        <w:rPr>
          <w:sz w:val="20"/>
          <w:szCs w:val="20"/>
        </w:rPr>
        <w:t xml:space="preserve"> privat</w:t>
      </w:r>
      <w:r w:rsidR="003745C1">
        <w:rPr>
          <w:sz w:val="20"/>
          <w:szCs w:val="20"/>
        </w:rPr>
        <w:t>e</w:t>
      </w:r>
      <w:r w:rsidR="003745C1" w:rsidRPr="003745C1">
        <w:rPr>
          <w:sz w:val="20"/>
          <w:szCs w:val="20"/>
        </w:rPr>
        <w:t xml:space="preserve"> stranier</w:t>
      </w:r>
      <w:r w:rsidR="003745C1">
        <w:rPr>
          <w:sz w:val="20"/>
          <w:szCs w:val="20"/>
        </w:rPr>
        <w:t>e</w:t>
      </w:r>
      <w:r w:rsidR="00083713">
        <w:rPr>
          <w:sz w:val="20"/>
          <w:szCs w:val="20"/>
        </w:rPr>
        <w:t xml:space="preserve"> quotate in borsa</w:t>
      </w:r>
      <w:r w:rsidR="003745C1" w:rsidRPr="003745C1">
        <w:rPr>
          <w:sz w:val="20"/>
          <w:szCs w:val="20"/>
        </w:rPr>
        <w:t xml:space="preserve"> per fornire informazioni. Il modulo è utilizzato dalle società in cui il 50% o meno del totale delle azioni con diritto di voto è detenuto da cittadini americani, ma le azioni possono essere negoziate in una borsa americana. Lo scopo del modulo è quello di standardizzare i rapporti delle imprese straniere per i mercati americani.</w:t>
      </w:r>
    </w:p>
    <w:p w14:paraId="7995B320" w14:textId="10953C47" w:rsidR="003057C5" w:rsidRPr="00A3029F" w:rsidRDefault="003057C5" w:rsidP="00082454">
      <w:pPr>
        <w:pStyle w:val="Paragrafoelenco"/>
        <w:numPr>
          <w:ilvl w:val="0"/>
          <w:numId w:val="1"/>
        </w:numPr>
        <w:spacing w:line="240" w:lineRule="auto"/>
        <w:rPr>
          <w:sz w:val="20"/>
          <w:szCs w:val="20"/>
        </w:rPr>
      </w:pPr>
      <w:r w:rsidRPr="00082454">
        <w:rPr>
          <w:sz w:val="20"/>
          <w:szCs w:val="20"/>
        </w:rPr>
        <w:t>Pag. 1</w:t>
      </w:r>
      <w:r w:rsidR="00A66DBE">
        <w:rPr>
          <w:sz w:val="20"/>
          <w:szCs w:val="20"/>
        </w:rPr>
        <w:t>5</w:t>
      </w:r>
      <w:r w:rsidRPr="00082454">
        <w:rPr>
          <w:sz w:val="20"/>
          <w:szCs w:val="20"/>
        </w:rPr>
        <w:t xml:space="preserve"> Modello 20</w:t>
      </w:r>
      <w:r w:rsidR="008676A7">
        <w:rPr>
          <w:sz w:val="20"/>
          <w:szCs w:val="20"/>
        </w:rPr>
        <w:t>F</w:t>
      </w:r>
      <w:r w:rsidRPr="00082454">
        <w:rPr>
          <w:sz w:val="20"/>
          <w:szCs w:val="20"/>
        </w:rPr>
        <w:t xml:space="preserve"> chiuso al 31 marzo 202</w:t>
      </w:r>
      <w:r w:rsidR="00A66DBE">
        <w:rPr>
          <w:sz w:val="20"/>
          <w:szCs w:val="20"/>
        </w:rPr>
        <w:t>2</w:t>
      </w:r>
      <w:r w:rsidR="000F7ADE" w:rsidRPr="00082454">
        <w:rPr>
          <w:sz w:val="20"/>
          <w:szCs w:val="20"/>
        </w:rPr>
        <w:t>.</w:t>
      </w:r>
      <w:r w:rsidR="00656EAE" w:rsidRPr="00082454">
        <w:rPr>
          <w:sz w:val="20"/>
          <w:szCs w:val="20"/>
        </w:rPr>
        <w:t xml:space="preserve"> Testo completo in lingua inglese</w:t>
      </w:r>
      <w:r w:rsidR="00A66DBE">
        <w:rPr>
          <w:sz w:val="20"/>
          <w:szCs w:val="20"/>
        </w:rPr>
        <w:t xml:space="preserve"> riportato sotto il capitolo “Risk Factors”</w:t>
      </w:r>
      <w:r w:rsidR="00656EAE" w:rsidRPr="00082454">
        <w:rPr>
          <w:sz w:val="20"/>
          <w:szCs w:val="20"/>
        </w:rPr>
        <w:t xml:space="preserve">: </w:t>
      </w:r>
      <w:r w:rsidR="00656EAE" w:rsidRPr="00082454">
        <w:rPr>
          <w:i/>
          <w:iCs/>
          <w:sz w:val="20"/>
          <w:szCs w:val="20"/>
        </w:rPr>
        <w:t xml:space="preserve">Change in EU regulations in relation to employers and employee social insurance could increase costs. European legislation governs the country in which employees and employers must pay social insurance </w:t>
      </w:r>
      <w:r w:rsidR="00656EAE" w:rsidRPr="00082454">
        <w:rPr>
          <w:i/>
          <w:iCs/>
          <w:sz w:val="20"/>
          <w:szCs w:val="20"/>
        </w:rPr>
        <w:lastRenderedPageBreak/>
        <w:t>costs. Under the terms of legislation introduced in 2012, employees and employers must pay social insurance in the country where the employee is based. Prior to June 2012, Ryanair paid employee and employer social insurance in the country under whose laws the employee’s contract of employment was governed, which was either the U.K. or Ireland. The legislation introduced in 2012 included grandfathering rights whereby existing employees (i.e. those employed prior to the introduction of the new legislation in June 2012) were exempt from the effects of the new legislation for a period of 10 years up until 2022 provided they did not transfer between bases. Each country within the EU has different rules and rates in relation to the calculation of employee and employer social insurance contributions and any increase in the rates of contributions will have a material adverse effect on Ryanair’s cash flows, financial position and results of operations.</w:t>
      </w:r>
    </w:p>
    <w:p w14:paraId="2DE9F0C6" w14:textId="75785B76" w:rsidR="00A3029F" w:rsidRDefault="001857D9" w:rsidP="00082454">
      <w:pPr>
        <w:pStyle w:val="Paragrafoelenco"/>
        <w:numPr>
          <w:ilvl w:val="0"/>
          <w:numId w:val="1"/>
        </w:numPr>
        <w:spacing w:line="240" w:lineRule="auto"/>
        <w:rPr>
          <w:sz w:val="20"/>
          <w:szCs w:val="20"/>
        </w:rPr>
      </w:pPr>
      <w:r w:rsidRPr="003564C2">
        <w:rPr>
          <w:sz w:val="20"/>
          <w:szCs w:val="20"/>
        </w:rPr>
        <w:t>Article 11(5) of Regulation No 883/2004.</w:t>
      </w:r>
    </w:p>
    <w:p w14:paraId="174B2829" w14:textId="77777777" w:rsidR="003A38F6" w:rsidRDefault="003A38F6" w:rsidP="003A38F6">
      <w:pPr>
        <w:spacing w:line="240" w:lineRule="auto"/>
        <w:rPr>
          <w:sz w:val="20"/>
          <w:szCs w:val="20"/>
        </w:rPr>
      </w:pPr>
    </w:p>
    <w:p w14:paraId="542FBD87" w14:textId="77777777" w:rsidR="003A38F6" w:rsidRDefault="003A38F6" w:rsidP="003A38F6">
      <w:pPr>
        <w:spacing w:line="240" w:lineRule="auto"/>
        <w:rPr>
          <w:sz w:val="20"/>
          <w:szCs w:val="20"/>
        </w:rPr>
      </w:pPr>
    </w:p>
    <w:p w14:paraId="3DEF6D94" w14:textId="77777777" w:rsidR="003A38F6" w:rsidRDefault="003A38F6" w:rsidP="003A38F6">
      <w:pPr>
        <w:spacing w:line="240" w:lineRule="auto"/>
        <w:rPr>
          <w:sz w:val="20"/>
          <w:szCs w:val="20"/>
        </w:rPr>
      </w:pPr>
    </w:p>
    <w:p w14:paraId="61FE24BD" w14:textId="6C8DB269" w:rsidR="003A38F6" w:rsidRPr="003A38F6" w:rsidRDefault="003A38F6" w:rsidP="003A38F6">
      <w:pPr>
        <w:spacing w:line="240" w:lineRule="auto"/>
        <w:ind w:left="2832" w:firstLine="708"/>
        <w:rPr>
          <w:b/>
          <w:bCs/>
          <w:i/>
          <w:iCs/>
          <w:color w:val="00B0F0"/>
          <w:sz w:val="20"/>
          <w:szCs w:val="20"/>
        </w:rPr>
      </w:pPr>
      <w:r w:rsidRPr="003A38F6">
        <w:rPr>
          <w:b/>
          <w:bCs/>
          <w:i/>
          <w:iCs/>
          <w:color w:val="00B0F0"/>
          <w:sz w:val="20"/>
          <w:szCs w:val="20"/>
        </w:rPr>
        <w:t>www.Aviation-Industry-News.com</w:t>
      </w:r>
    </w:p>
    <w:p w14:paraId="240EBCA6" w14:textId="5160D9ED" w:rsidR="00B82E35" w:rsidRDefault="00B82E35" w:rsidP="00616D19">
      <w:pPr>
        <w:pStyle w:val="Paragrafoelenco"/>
        <w:spacing w:line="240" w:lineRule="auto"/>
        <w:rPr>
          <w:sz w:val="20"/>
          <w:szCs w:val="20"/>
        </w:rPr>
      </w:pPr>
    </w:p>
    <w:p w14:paraId="43DE8BA1" w14:textId="0E8CBB81" w:rsidR="002470BA" w:rsidRDefault="009568A5" w:rsidP="00616D19">
      <w:pPr>
        <w:pStyle w:val="Paragrafoelenco"/>
        <w:spacing w:line="240" w:lineRule="auto"/>
        <w:rPr>
          <w:i/>
          <w:iCs/>
          <w:sz w:val="16"/>
          <w:szCs w:val="16"/>
        </w:rPr>
      </w:pPr>
      <w:r>
        <w:rPr>
          <w:i/>
          <w:iCs/>
          <w:sz w:val="16"/>
          <w:szCs w:val="16"/>
        </w:rPr>
        <w:t>0</w:t>
      </w:r>
      <w:r w:rsidR="00BF44F1">
        <w:rPr>
          <w:i/>
          <w:iCs/>
          <w:sz w:val="16"/>
          <w:szCs w:val="16"/>
        </w:rPr>
        <w:t>1</w:t>
      </w:r>
      <w:r w:rsidR="008778AE" w:rsidRPr="008778AE">
        <w:rPr>
          <w:i/>
          <w:iCs/>
          <w:sz w:val="16"/>
          <w:szCs w:val="16"/>
        </w:rPr>
        <w:t>/</w:t>
      </w:r>
      <w:r w:rsidR="00BF44F1">
        <w:rPr>
          <w:i/>
          <w:iCs/>
          <w:sz w:val="16"/>
          <w:szCs w:val="16"/>
        </w:rPr>
        <w:t>10</w:t>
      </w:r>
      <w:r w:rsidR="008778AE" w:rsidRPr="008778AE">
        <w:rPr>
          <w:i/>
          <w:iCs/>
          <w:sz w:val="16"/>
          <w:szCs w:val="16"/>
        </w:rPr>
        <w:t>/2022</w:t>
      </w:r>
    </w:p>
    <w:p w14:paraId="358A7838" w14:textId="77777777" w:rsidR="007128EC" w:rsidRDefault="007128EC" w:rsidP="00616D19">
      <w:pPr>
        <w:pStyle w:val="Paragrafoelenco"/>
        <w:spacing w:line="240" w:lineRule="auto"/>
        <w:rPr>
          <w:i/>
          <w:iCs/>
          <w:sz w:val="16"/>
          <w:szCs w:val="16"/>
        </w:rPr>
      </w:pPr>
    </w:p>
    <w:p w14:paraId="62C8EED8" w14:textId="77777777" w:rsidR="007128EC" w:rsidRDefault="007128EC" w:rsidP="00616D19">
      <w:pPr>
        <w:pStyle w:val="Paragrafoelenco"/>
        <w:spacing w:line="240" w:lineRule="auto"/>
        <w:rPr>
          <w:i/>
          <w:iCs/>
          <w:sz w:val="16"/>
          <w:szCs w:val="16"/>
        </w:rPr>
      </w:pPr>
    </w:p>
    <w:p w14:paraId="2F9BA155" w14:textId="77777777" w:rsidR="007128EC" w:rsidRDefault="007128EC" w:rsidP="00616D19">
      <w:pPr>
        <w:pStyle w:val="Paragrafoelenco"/>
        <w:spacing w:line="240" w:lineRule="auto"/>
        <w:rPr>
          <w:i/>
          <w:iCs/>
          <w:sz w:val="16"/>
          <w:szCs w:val="16"/>
        </w:rPr>
      </w:pPr>
    </w:p>
    <w:p w14:paraId="21AA3ADA" w14:textId="77777777" w:rsidR="007128EC" w:rsidRDefault="007128EC" w:rsidP="00616D19">
      <w:pPr>
        <w:pStyle w:val="Paragrafoelenco"/>
        <w:spacing w:line="240" w:lineRule="auto"/>
        <w:rPr>
          <w:i/>
          <w:iCs/>
          <w:sz w:val="16"/>
          <w:szCs w:val="16"/>
        </w:rPr>
      </w:pPr>
    </w:p>
    <w:p w14:paraId="19CFBF7C" w14:textId="77777777" w:rsidR="007128EC" w:rsidRDefault="007128EC" w:rsidP="00616D19">
      <w:pPr>
        <w:pStyle w:val="Paragrafoelenco"/>
        <w:spacing w:line="240" w:lineRule="auto"/>
        <w:rPr>
          <w:i/>
          <w:iCs/>
          <w:sz w:val="16"/>
          <w:szCs w:val="16"/>
        </w:rPr>
      </w:pPr>
    </w:p>
    <w:p w14:paraId="42D32CCF" w14:textId="77777777" w:rsidR="007128EC" w:rsidRDefault="007128EC" w:rsidP="00616D19">
      <w:pPr>
        <w:pStyle w:val="Paragrafoelenco"/>
        <w:spacing w:line="240" w:lineRule="auto"/>
        <w:rPr>
          <w:i/>
          <w:iCs/>
          <w:sz w:val="16"/>
          <w:szCs w:val="16"/>
        </w:rPr>
      </w:pPr>
    </w:p>
    <w:p w14:paraId="2F4B0CDA" w14:textId="77777777" w:rsidR="007128EC" w:rsidRDefault="007128EC" w:rsidP="00616D19">
      <w:pPr>
        <w:pStyle w:val="Paragrafoelenco"/>
        <w:spacing w:line="240" w:lineRule="auto"/>
        <w:rPr>
          <w:i/>
          <w:iCs/>
          <w:sz w:val="16"/>
          <w:szCs w:val="16"/>
        </w:rPr>
      </w:pPr>
    </w:p>
    <w:p w14:paraId="36B6EF21" w14:textId="77777777" w:rsidR="007128EC" w:rsidRDefault="007128EC" w:rsidP="00616D19">
      <w:pPr>
        <w:pStyle w:val="Paragrafoelenco"/>
        <w:spacing w:line="240" w:lineRule="auto"/>
        <w:rPr>
          <w:i/>
          <w:iCs/>
          <w:sz w:val="16"/>
          <w:szCs w:val="16"/>
        </w:rPr>
      </w:pPr>
    </w:p>
    <w:p w14:paraId="67339B35" w14:textId="77777777" w:rsidR="007128EC" w:rsidRDefault="007128EC" w:rsidP="00616D19">
      <w:pPr>
        <w:pStyle w:val="Paragrafoelenco"/>
        <w:spacing w:line="240" w:lineRule="auto"/>
        <w:rPr>
          <w:i/>
          <w:iCs/>
          <w:sz w:val="16"/>
          <w:szCs w:val="16"/>
        </w:rPr>
      </w:pPr>
    </w:p>
    <w:p w14:paraId="76D2477A" w14:textId="77777777" w:rsidR="003B7084" w:rsidRDefault="003B7084" w:rsidP="00616D19">
      <w:pPr>
        <w:pStyle w:val="Paragrafoelenco"/>
        <w:spacing w:line="240" w:lineRule="auto"/>
        <w:rPr>
          <w:i/>
          <w:iCs/>
          <w:sz w:val="16"/>
          <w:szCs w:val="16"/>
        </w:rPr>
      </w:pPr>
    </w:p>
    <w:p w14:paraId="33D782C9" w14:textId="77777777" w:rsidR="007128EC" w:rsidRPr="00E81762" w:rsidRDefault="007128EC" w:rsidP="007128EC">
      <w:pPr>
        <w:pBdr>
          <w:top w:val="single" w:sz="4" w:space="1" w:color="auto"/>
          <w:left w:val="single" w:sz="4" w:space="4" w:color="auto"/>
          <w:bottom w:val="single" w:sz="4" w:space="1" w:color="auto"/>
          <w:right w:val="single" w:sz="4" w:space="4" w:color="auto"/>
        </w:pBdr>
        <w:rPr>
          <w:color w:val="C00000"/>
        </w:rPr>
      </w:pPr>
      <w:r w:rsidRPr="00E81762">
        <w:rPr>
          <w:color w:val="C00000"/>
        </w:rPr>
        <w:t xml:space="preserve">Se avete amici, conoscenti interessati a ricevere le nostre Newsletter, fateli contattare al seguente indirizzo </w:t>
      </w:r>
      <w:proofErr w:type="gramStart"/>
      <w:r w:rsidRPr="00E81762">
        <w:rPr>
          <w:color w:val="C00000"/>
        </w:rPr>
        <w:t>email :</w:t>
      </w:r>
      <w:proofErr w:type="gramEnd"/>
      <w:r w:rsidRPr="00E81762">
        <w:rPr>
          <w:color w:val="C00000"/>
        </w:rPr>
        <w:t xml:space="preserve"> </w:t>
      </w:r>
    </w:p>
    <w:p w14:paraId="6DC12B10" w14:textId="77777777" w:rsidR="007128EC" w:rsidRPr="00E81762" w:rsidRDefault="007128EC" w:rsidP="007128EC">
      <w:pPr>
        <w:pBdr>
          <w:top w:val="single" w:sz="4" w:space="1" w:color="auto"/>
          <w:left w:val="single" w:sz="4" w:space="4" w:color="auto"/>
          <w:bottom w:val="single" w:sz="4" w:space="1" w:color="auto"/>
          <w:right w:val="single" w:sz="4" w:space="4" w:color="auto"/>
        </w:pBdr>
        <w:rPr>
          <w:color w:val="C00000"/>
        </w:rPr>
      </w:pPr>
      <w:r w:rsidRPr="00E81762">
        <w:t xml:space="preserve">                                                          </w:t>
      </w:r>
      <w:hyperlink r:id="rId11" w:history="1">
        <w:r w:rsidRPr="00E81762">
          <w:rPr>
            <w:rStyle w:val="Collegamentoipertestuale"/>
          </w:rPr>
          <w:t>antonio.bordoni@yahoo.it</w:t>
        </w:r>
      </w:hyperlink>
    </w:p>
    <w:p w14:paraId="269E010C" w14:textId="77777777" w:rsidR="007128EC" w:rsidRPr="00E81762" w:rsidRDefault="007128EC" w:rsidP="007128EC">
      <w:pPr>
        <w:pBdr>
          <w:top w:val="single" w:sz="4" w:space="1" w:color="auto"/>
          <w:left w:val="single" w:sz="4" w:space="4" w:color="auto"/>
          <w:bottom w:val="single" w:sz="4" w:space="1" w:color="auto"/>
          <w:right w:val="single" w:sz="4" w:space="4" w:color="auto"/>
        </w:pBdr>
        <w:rPr>
          <w:color w:val="C00000"/>
        </w:rPr>
      </w:pPr>
      <w:proofErr w:type="gramStart"/>
      <w:r w:rsidRPr="00E81762">
        <w:rPr>
          <w:color w:val="C00000"/>
        </w:rPr>
        <w:t>e  provvederemo</w:t>
      </w:r>
      <w:proofErr w:type="gramEnd"/>
      <w:r w:rsidRPr="00E81762">
        <w:rPr>
          <w:color w:val="C00000"/>
        </w:rPr>
        <w:t xml:space="preserve"> ad inserirli nella nostra mailing list. </w:t>
      </w:r>
      <w:r w:rsidRPr="00E81762">
        <w:rPr>
          <w:b/>
          <w:bCs/>
          <w:color w:val="C00000"/>
        </w:rPr>
        <w:t>Il servizio è gratuito.</w:t>
      </w:r>
      <w:r w:rsidRPr="00E81762">
        <w:rPr>
          <w:color w:val="C00000"/>
        </w:rPr>
        <w:t xml:space="preserve"> Specificare se si è interessati al settore marketing/industria aviazione commerciale: </w:t>
      </w:r>
      <w:hyperlink r:id="rId12" w:history="1">
        <w:r w:rsidRPr="00E81762">
          <w:rPr>
            <w:rStyle w:val="Collegamentoipertestuale"/>
            <w:color w:val="C00000"/>
          </w:rPr>
          <w:t>www.aviation-industry-news.com</w:t>
        </w:r>
      </w:hyperlink>
      <w:r w:rsidRPr="00E81762">
        <w:rPr>
          <w:color w:val="C00000"/>
        </w:rPr>
        <w:t xml:space="preserve"> </w:t>
      </w:r>
    </w:p>
    <w:p w14:paraId="169AE322" w14:textId="77777777" w:rsidR="007128EC" w:rsidRPr="00E81762" w:rsidRDefault="007128EC" w:rsidP="007128EC">
      <w:pPr>
        <w:pBdr>
          <w:top w:val="single" w:sz="4" w:space="1" w:color="auto"/>
          <w:left w:val="single" w:sz="4" w:space="4" w:color="auto"/>
          <w:bottom w:val="single" w:sz="4" w:space="1" w:color="auto"/>
          <w:right w:val="single" w:sz="4" w:space="4" w:color="auto"/>
        </w:pBdr>
        <w:rPr>
          <w:color w:val="C00000"/>
        </w:rPr>
      </w:pPr>
      <w:r w:rsidRPr="00E81762">
        <w:rPr>
          <w:color w:val="C00000"/>
        </w:rPr>
        <w:t>o alla sicurezza del volo:</w:t>
      </w:r>
    </w:p>
    <w:p w14:paraId="4F08448D" w14:textId="77777777" w:rsidR="007128EC" w:rsidRPr="00E81762" w:rsidRDefault="00BF44F1" w:rsidP="007128EC">
      <w:pPr>
        <w:pBdr>
          <w:top w:val="single" w:sz="4" w:space="1" w:color="auto"/>
          <w:left w:val="single" w:sz="4" w:space="4" w:color="auto"/>
          <w:bottom w:val="single" w:sz="4" w:space="1" w:color="auto"/>
          <w:right w:val="single" w:sz="4" w:space="4" w:color="auto"/>
        </w:pBdr>
        <w:rPr>
          <w:color w:val="C00000"/>
        </w:rPr>
      </w:pPr>
      <w:hyperlink r:id="rId13" w:history="1">
        <w:r w:rsidR="007128EC" w:rsidRPr="00E81762">
          <w:rPr>
            <w:rStyle w:val="Collegamentoipertestuale"/>
          </w:rPr>
          <w:t>www.air-accidents.com</w:t>
        </w:r>
      </w:hyperlink>
    </w:p>
    <w:p w14:paraId="0B3AADB7" w14:textId="77777777" w:rsidR="007128EC" w:rsidRPr="00E81762" w:rsidRDefault="007128EC" w:rsidP="007128EC">
      <w:pPr>
        <w:pBdr>
          <w:top w:val="single" w:sz="4" w:space="1" w:color="auto"/>
          <w:left w:val="single" w:sz="4" w:space="4" w:color="auto"/>
          <w:bottom w:val="single" w:sz="4" w:space="1" w:color="auto"/>
          <w:right w:val="single" w:sz="4" w:space="4" w:color="auto"/>
        </w:pBdr>
        <w:rPr>
          <w:color w:val="C00000"/>
        </w:rPr>
      </w:pPr>
      <w:proofErr w:type="gramStart"/>
      <w:r w:rsidRPr="00E81762">
        <w:rPr>
          <w:color w:val="C00000"/>
        </w:rPr>
        <w:t>E’</w:t>
      </w:r>
      <w:proofErr w:type="gramEnd"/>
      <w:r w:rsidRPr="00E81762">
        <w:rPr>
          <w:color w:val="C00000"/>
        </w:rPr>
        <w:t xml:space="preserve"> possibile richiedere l’inserimento a entrambi i servizi.</w:t>
      </w:r>
    </w:p>
    <w:p w14:paraId="50504E45" w14:textId="77777777" w:rsidR="007128EC" w:rsidRPr="008778AE" w:rsidRDefault="007128EC" w:rsidP="00616D19">
      <w:pPr>
        <w:pStyle w:val="Paragrafoelenco"/>
        <w:spacing w:line="240" w:lineRule="auto"/>
        <w:rPr>
          <w:i/>
          <w:iCs/>
          <w:sz w:val="16"/>
          <w:szCs w:val="16"/>
        </w:rPr>
      </w:pPr>
    </w:p>
    <w:sectPr w:rsidR="007128EC" w:rsidRPr="008778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6678B"/>
    <w:multiLevelType w:val="hybridMultilevel"/>
    <w:tmpl w:val="501E1C3C"/>
    <w:lvl w:ilvl="0" w:tplc="1A06CA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72661C1"/>
    <w:multiLevelType w:val="hybridMultilevel"/>
    <w:tmpl w:val="25360446"/>
    <w:lvl w:ilvl="0" w:tplc="C1E030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94193336">
    <w:abstractNumId w:val="0"/>
  </w:num>
  <w:num w:numId="2" w16cid:durableId="514461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A2"/>
    <w:rsid w:val="000015EA"/>
    <w:rsid w:val="000040DA"/>
    <w:rsid w:val="000051C5"/>
    <w:rsid w:val="00006E1E"/>
    <w:rsid w:val="000214BE"/>
    <w:rsid w:val="00031848"/>
    <w:rsid w:val="00031F08"/>
    <w:rsid w:val="00032492"/>
    <w:rsid w:val="00032A4A"/>
    <w:rsid w:val="00043DEF"/>
    <w:rsid w:val="00044EBB"/>
    <w:rsid w:val="00054D0C"/>
    <w:rsid w:val="00060EFE"/>
    <w:rsid w:val="00077504"/>
    <w:rsid w:val="00082454"/>
    <w:rsid w:val="00083713"/>
    <w:rsid w:val="000A0862"/>
    <w:rsid w:val="000A14BF"/>
    <w:rsid w:val="000B7ADB"/>
    <w:rsid w:val="000C1185"/>
    <w:rsid w:val="000C79E2"/>
    <w:rsid w:val="000D628A"/>
    <w:rsid w:val="000E5C0C"/>
    <w:rsid w:val="000E7B08"/>
    <w:rsid w:val="000F6F5F"/>
    <w:rsid w:val="000F722E"/>
    <w:rsid w:val="000F7ADE"/>
    <w:rsid w:val="00101719"/>
    <w:rsid w:val="001030DE"/>
    <w:rsid w:val="00104431"/>
    <w:rsid w:val="00104C5B"/>
    <w:rsid w:val="00121E46"/>
    <w:rsid w:val="001220D4"/>
    <w:rsid w:val="0013030C"/>
    <w:rsid w:val="00135F10"/>
    <w:rsid w:val="0014027C"/>
    <w:rsid w:val="00145B1E"/>
    <w:rsid w:val="00147FE3"/>
    <w:rsid w:val="00152469"/>
    <w:rsid w:val="00154E09"/>
    <w:rsid w:val="00162816"/>
    <w:rsid w:val="00162F4F"/>
    <w:rsid w:val="00171E28"/>
    <w:rsid w:val="001857D9"/>
    <w:rsid w:val="00185DAF"/>
    <w:rsid w:val="001915B7"/>
    <w:rsid w:val="00192B8E"/>
    <w:rsid w:val="001A1426"/>
    <w:rsid w:val="001A1A23"/>
    <w:rsid w:val="001A2028"/>
    <w:rsid w:val="001A425B"/>
    <w:rsid w:val="001A68E0"/>
    <w:rsid w:val="001B0DD6"/>
    <w:rsid w:val="001B38D4"/>
    <w:rsid w:val="001C02CB"/>
    <w:rsid w:val="001C2DD9"/>
    <w:rsid w:val="001D78CA"/>
    <w:rsid w:val="001E54AE"/>
    <w:rsid w:val="001F63EC"/>
    <w:rsid w:val="0020516E"/>
    <w:rsid w:val="002179A3"/>
    <w:rsid w:val="00222062"/>
    <w:rsid w:val="002255C2"/>
    <w:rsid w:val="00230DCE"/>
    <w:rsid w:val="00230E80"/>
    <w:rsid w:val="002334C9"/>
    <w:rsid w:val="002470BA"/>
    <w:rsid w:val="00250531"/>
    <w:rsid w:val="00262785"/>
    <w:rsid w:val="002665DA"/>
    <w:rsid w:val="00282FD6"/>
    <w:rsid w:val="00283547"/>
    <w:rsid w:val="002915BA"/>
    <w:rsid w:val="002A1383"/>
    <w:rsid w:val="002B19F8"/>
    <w:rsid w:val="002B2F53"/>
    <w:rsid w:val="002B607C"/>
    <w:rsid w:val="002B7489"/>
    <w:rsid w:val="002C174A"/>
    <w:rsid w:val="002C6DF7"/>
    <w:rsid w:val="002D3236"/>
    <w:rsid w:val="002D7E08"/>
    <w:rsid w:val="002E2303"/>
    <w:rsid w:val="002E479E"/>
    <w:rsid w:val="002E608F"/>
    <w:rsid w:val="002F18A8"/>
    <w:rsid w:val="002F3E74"/>
    <w:rsid w:val="002F6C58"/>
    <w:rsid w:val="00300DB3"/>
    <w:rsid w:val="00301E87"/>
    <w:rsid w:val="003057C5"/>
    <w:rsid w:val="00312CC0"/>
    <w:rsid w:val="00331FFC"/>
    <w:rsid w:val="00333160"/>
    <w:rsid w:val="00334A1B"/>
    <w:rsid w:val="00341286"/>
    <w:rsid w:val="003501A5"/>
    <w:rsid w:val="003505CC"/>
    <w:rsid w:val="003564C2"/>
    <w:rsid w:val="00372768"/>
    <w:rsid w:val="00373130"/>
    <w:rsid w:val="003745C1"/>
    <w:rsid w:val="00387928"/>
    <w:rsid w:val="00390DC7"/>
    <w:rsid w:val="003A2AB5"/>
    <w:rsid w:val="003A38F6"/>
    <w:rsid w:val="003A7E1B"/>
    <w:rsid w:val="003B6A1E"/>
    <w:rsid w:val="003B7084"/>
    <w:rsid w:val="003D21B7"/>
    <w:rsid w:val="003D27B5"/>
    <w:rsid w:val="003D53D6"/>
    <w:rsid w:val="003D7DF1"/>
    <w:rsid w:val="003E2AAF"/>
    <w:rsid w:val="003F5C25"/>
    <w:rsid w:val="00400719"/>
    <w:rsid w:val="004024C8"/>
    <w:rsid w:val="004100AD"/>
    <w:rsid w:val="00411980"/>
    <w:rsid w:val="00414FF3"/>
    <w:rsid w:val="0041713E"/>
    <w:rsid w:val="0042143F"/>
    <w:rsid w:val="0042537B"/>
    <w:rsid w:val="00427B0F"/>
    <w:rsid w:val="004429E7"/>
    <w:rsid w:val="00443A40"/>
    <w:rsid w:val="004467B9"/>
    <w:rsid w:val="00456483"/>
    <w:rsid w:val="00456597"/>
    <w:rsid w:val="00457442"/>
    <w:rsid w:val="00466C94"/>
    <w:rsid w:val="00473300"/>
    <w:rsid w:val="0047731D"/>
    <w:rsid w:val="00481111"/>
    <w:rsid w:val="00494A0D"/>
    <w:rsid w:val="004B1563"/>
    <w:rsid w:val="004B7B67"/>
    <w:rsid w:val="004C0480"/>
    <w:rsid w:val="004C5F12"/>
    <w:rsid w:val="004D59F8"/>
    <w:rsid w:val="004D64B4"/>
    <w:rsid w:val="004F33AD"/>
    <w:rsid w:val="004F3865"/>
    <w:rsid w:val="004F659C"/>
    <w:rsid w:val="00514E79"/>
    <w:rsid w:val="005218A9"/>
    <w:rsid w:val="00536B59"/>
    <w:rsid w:val="00545A56"/>
    <w:rsid w:val="00545C6F"/>
    <w:rsid w:val="005510C2"/>
    <w:rsid w:val="00551E61"/>
    <w:rsid w:val="00561685"/>
    <w:rsid w:val="005649D9"/>
    <w:rsid w:val="00574754"/>
    <w:rsid w:val="00575821"/>
    <w:rsid w:val="00587491"/>
    <w:rsid w:val="005A2FBC"/>
    <w:rsid w:val="005A61F2"/>
    <w:rsid w:val="005B118A"/>
    <w:rsid w:val="005B3A58"/>
    <w:rsid w:val="005C1DCB"/>
    <w:rsid w:val="005C3AA5"/>
    <w:rsid w:val="005C55AA"/>
    <w:rsid w:val="005C65D4"/>
    <w:rsid w:val="005C798B"/>
    <w:rsid w:val="005D76A2"/>
    <w:rsid w:val="005E40D9"/>
    <w:rsid w:val="005E5047"/>
    <w:rsid w:val="005E6054"/>
    <w:rsid w:val="005F18A4"/>
    <w:rsid w:val="005F5EEC"/>
    <w:rsid w:val="005F677A"/>
    <w:rsid w:val="005F6A8B"/>
    <w:rsid w:val="00600242"/>
    <w:rsid w:val="0060502A"/>
    <w:rsid w:val="00607BA9"/>
    <w:rsid w:val="00607E2D"/>
    <w:rsid w:val="00616D19"/>
    <w:rsid w:val="006247CF"/>
    <w:rsid w:val="0063590E"/>
    <w:rsid w:val="00642087"/>
    <w:rsid w:val="00643EFB"/>
    <w:rsid w:val="00645F1D"/>
    <w:rsid w:val="00652F8B"/>
    <w:rsid w:val="00655CD2"/>
    <w:rsid w:val="00655D48"/>
    <w:rsid w:val="00656EAE"/>
    <w:rsid w:val="00667609"/>
    <w:rsid w:val="00671C5A"/>
    <w:rsid w:val="006738A4"/>
    <w:rsid w:val="00675AC2"/>
    <w:rsid w:val="006803F2"/>
    <w:rsid w:val="00681185"/>
    <w:rsid w:val="00682C9F"/>
    <w:rsid w:val="00685488"/>
    <w:rsid w:val="00686DA1"/>
    <w:rsid w:val="0069027E"/>
    <w:rsid w:val="00691B77"/>
    <w:rsid w:val="006A21AF"/>
    <w:rsid w:val="006A31A0"/>
    <w:rsid w:val="006B06F8"/>
    <w:rsid w:val="006B1F00"/>
    <w:rsid w:val="006B4AEE"/>
    <w:rsid w:val="006B6343"/>
    <w:rsid w:val="006B677E"/>
    <w:rsid w:val="006B77F3"/>
    <w:rsid w:val="006C2A41"/>
    <w:rsid w:val="006E3ECD"/>
    <w:rsid w:val="006E443D"/>
    <w:rsid w:val="006F6394"/>
    <w:rsid w:val="006F7246"/>
    <w:rsid w:val="00706438"/>
    <w:rsid w:val="007128EC"/>
    <w:rsid w:val="00732939"/>
    <w:rsid w:val="00733062"/>
    <w:rsid w:val="00735920"/>
    <w:rsid w:val="00744536"/>
    <w:rsid w:val="00745DE9"/>
    <w:rsid w:val="00751A31"/>
    <w:rsid w:val="007615BB"/>
    <w:rsid w:val="00762330"/>
    <w:rsid w:val="007625A9"/>
    <w:rsid w:val="00767A4A"/>
    <w:rsid w:val="00782211"/>
    <w:rsid w:val="00784D5C"/>
    <w:rsid w:val="007938AD"/>
    <w:rsid w:val="007A3F10"/>
    <w:rsid w:val="007A5C9F"/>
    <w:rsid w:val="007D365F"/>
    <w:rsid w:val="007D5514"/>
    <w:rsid w:val="007E36A2"/>
    <w:rsid w:val="007E60DB"/>
    <w:rsid w:val="007E7B46"/>
    <w:rsid w:val="007F5468"/>
    <w:rsid w:val="0080465F"/>
    <w:rsid w:val="0080472B"/>
    <w:rsid w:val="008236DE"/>
    <w:rsid w:val="00825A61"/>
    <w:rsid w:val="00826836"/>
    <w:rsid w:val="008320A4"/>
    <w:rsid w:val="00833352"/>
    <w:rsid w:val="00835FB5"/>
    <w:rsid w:val="00835FCE"/>
    <w:rsid w:val="00842FB5"/>
    <w:rsid w:val="008578A1"/>
    <w:rsid w:val="0086400A"/>
    <w:rsid w:val="008676A7"/>
    <w:rsid w:val="00871040"/>
    <w:rsid w:val="008723CD"/>
    <w:rsid w:val="008747B9"/>
    <w:rsid w:val="00876FD0"/>
    <w:rsid w:val="008777AB"/>
    <w:rsid w:val="008778AE"/>
    <w:rsid w:val="00877911"/>
    <w:rsid w:val="00886F44"/>
    <w:rsid w:val="00887FD9"/>
    <w:rsid w:val="00893E10"/>
    <w:rsid w:val="00894D2E"/>
    <w:rsid w:val="008A5633"/>
    <w:rsid w:val="008A56E2"/>
    <w:rsid w:val="008B2FC4"/>
    <w:rsid w:val="008C44A7"/>
    <w:rsid w:val="008C60FC"/>
    <w:rsid w:val="008D18C7"/>
    <w:rsid w:val="008E6122"/>
    <w:rsid w:val="008F45AF"/>
    <w:rsid w:val="008F7601"/>
    <w:rsid w:val="00900ECC"/>
    <w:rsid w:val="00901E31"/>
    <w:rsid w:val="00904AFE"/>
    <w:rsid w:val="0091271D"/>
    <w:rsid w:val="0092097F"/>
    <w:rsid w:val="009369EB"/>
    <w:rsid w:val="0094400A"/>
    <w:rsid w:val="009568A5"/>
    <w:rsid w:val="0096519B"/>
    <w:rsid w:val="00966183"/>
    <w:rsid w:val="00972E47"/>
    <w:rsid w:val="009751F9"/>
    <w:rsid w:val="009B4D4E"/>
    <w:rsid w:val="009B60FD"/>
    <w:rsid w:val="009C00D7"/>
    <w:rsid w:val="009C2D4B"/>
    <w:rsid w:val="009D2265"/>
    <w:rsid w:val="009E051C"/>
    <w:rsid w:val="009E26B9"/>
    <w:rsid w:val="009E5048"/>
    <w:rsid w:val="009F78E6"/>
    <w:rsid w:val="00A10AF3"/>
    <w:rsid w:val="00A148CD"/>
    <w:rsid w:val="00A152BD"/>
    <w:rsid w:val="00A16E2F"/>
    <w:rsid w:val="00A267C4"/>
    <w:rsid w:val="00A3029F"/>
    <w:rsid w:val="00A37868"/>
    <w:rsid w:val="00A410FB"/>
    <w:rsid w:val="00A51FBA"/>
    <w:rsid w:val="00A52987"/>
    <w:rsid w:val="00A54D75"/>
    <w:rsid w:val="00A559D2"/>
    <w:rsid w:val="00A638DC"/>
    <w:rsid w:val="00A66DBE"/>
    <w:rsid w:val="00A673F4"/>
    <w:rsid w:val="00A74679"/>
    <w:rsid w:val="00A87400"/>
    <w:rsid w:val="00A9216E"/>
    <w:rsid w:val="00A94AAE"/>
    <w:rsid w:val="00A94ABD"/>
    <w:rsid w:val="00AB18C7"/>
    <w:rsid w:val="00AC2212"/>
    <w:rsid w:val="00AC24E7"/>
    <w:rsid w:val="00AC4B2B"/>
    <w:rsid w:val="00AD356F"/>
    <w:rsid w:val="00AD4AA1"/>
    <w:rsid w:val="00AE00FF"/>
    <w:rsid w:val="00AE4F3E"/>
    <w:rsid w:val="00AE5378"/>
    <w:rsid w:val="00AE58B4"/>
    <w:rsid w:val="00AF3D0D"/>
    <w:rsid w:val="00AF5FBF"/>
    <w:rsid w:val="00B02295"/>
    <w:rsid w:val="00B1518E"/>
    <w:rsid w:val="00B215B7"/>
    <w:rsid w:val="00B25F38"/>
    <w:rsid w:val="00B404D6"/>
    <w:rsid w:val="00B425E0"/>
    <w:rsid w:val="00B45732"/>
    <w:rsid w:val="00B50529"/>
    <w:rsid w:val="00B5167B"/>
    <w:rsid w:val="00B5550D"/>
    <w:rsid w:val="00B56129"/>
    <w:rsid w:val="00B61E28"/>
    <w:rsid w:val="00B61F77"/>
    <w:rsid w:val="00B70D8E"/>
    <w:rsid w:val="00B74F9D"/>
    <w:rsid w:val="00B82E35"/>
    <w:rsid w:val="00B85005"/>
    <w:rsid w:val="00B86737"/>
    <w:rsid w:val="00B86E2D"/>
    <w:rsid w:val="00B91F75"/>
    <w:rsid w:val="00B96917"/>
    <w:rsid w:val="00B97352"/>
    <w:rsid w:val="00BA0026"/>
    <w:rsid w:val="00BA1F66"/>
    <w:rsid w:val="00BA33CB"/>
    <w:rsid w:val="00BA7F96"/>
    <w:rsid w:val="00BB002B"/>
    <w:rsid w:val="00BB163C"/>
    <w:rsid w:val="00BB34E6"/>
    <w:rsid w:val="00BC2DEC"/>
    <w:rsid w:val="00BC5EFB"/>
    <w:rsid w:val="00BC665F"/>
    <w:rsid w:val="00BE016F"/>
    <w:rsid w:val="00BE57B1"/>
    <w:rsid w:val="00BF0CCA"/>
    <w:rsid w:val="00BF44F1"/>
    <w:rsid w:val="00BF7FD6"/>
    <w:rsid w:val="00C01567"/>
    <w:rsid w:val="00C02C2E"/>
    <w:rsid w:val="00C06765"/>
    <w:rsid w:val="00C322F8"/>
    <w:rsid w:val="00C44DAC"/>
    <w:rsid w:val="00C45AEA"/>
    <w:rsid w:val="00C46573"/>
    <w:rsid w:val="00C469F7"/>
    <w:rsid w:val="00C575FE"/>
    <w:rsid w:val="00C627CD"/>
    <w:rsid w:val="00C64C03"/>
    <w:rsid w:val="00C720CF"/>
    <w:rsid w:val="00C764F4"/>
    <w:rsid w:val="00C82073"/>
    <w:rsid w:val="00C83452"/>
    <w:rsid w:val="00C865AF"/>
    <w:rsid w:val="00C96854"/>
    <w:rsid w:val="00C97E3C"/>
    <w:rsid w:val="00CA01ED"/>
    <w:rsid w:val="00CA4C48"/>
    <w:rsid w:val="00CB422E"/>
    <w:rsid w:val="00CB457A"/>
    <w:rsid w:val="00CB58E8"/>
    <w:rsid w:val="00CB5E7E"/>
    <w:rsid w:val="00CC12B6"/>
    <w:rsid w:val="00CC2C7B"/>
    <w:rsid w:val="00CD0A34"/>
    <w:rsid w:val="00CE608A"/>
    <w:rsid w:val="00CF249E"/>
    <w:rsid w:val="00CF44B0"/>
    <w:rsid w:val="00CF56D5"/>
    <w:rsid w:val="00D224C4"/>
    <w:rsid w:val="00D26BDB"/>
    <w:rsid w:val="00D27A2A"/>
    <w:rsid w:val="00D312E2"/>
    <w:rsid w:val="00D36B8B"/>
    <w:rsid w:val="00D43597"/>
    <w:rsid w:val="00D50DC0"/>
    <w:rsid w:val="00D62BA5"/>
    <w:rsid w:val="00D64FCD"/>
    <w:rsid w:val="00D72111"/>
    <w:rsid w:val="00D74381"/>
    <w:rsid w:val="00D76F71"/>
    <w:rsid w:val="00D81259"/>
    <w:rsid w:val="00D8158A"/>
    <w:rsid w:val="00D81787"/>
    <w:rsid w:val="00D85D36"/>
    <w:rsid w:val="00DB0D9D"/>
    <w:rsid w:val="00DB2327"/>
    <w:rsid w:val="00DB2835"/>
    <w:rsid w:val="00DB2CF1"/>
    <w:rsid w:val="00DB5252"/>
    <w:rsid w:val="00DC36FB"/>
    <w:rsid w:val="00DC626E"/>
    <w:rsid w:val="00DD428A"/>
    <w:rsid w:val="00DD568D"/>
    <w:rsid w:val="00DE5AAF"/>
    <w:rsid w:val="00DF68B2"/>
    <w:rsid w:val="00E018D5"/>
    <w:rsid w:val="00E018E0"/>
    <w:rsid w:val="00E07CC1"/>
    <w:rsid w:val="00E138DF"/>
    <w:rsid w:val="00E13EE3"/>
    <w:rsid w:val="00E14CC6"/>
    <w:rsid w:val="00E20CE0"/>
    <w:rsid w:val="00E2147A"/>
    <w:rsid w:val="00E25CA4"/>
    <w:rsid w:val="00E36A17"/>
    <w:rsid w:val="00E3785B"/>
    <w:rsid w:val="00E37B40"/>
    <w:rsid w:val="00E43397"/>
    <w:rsid w:val="00E451BE"/>
    <w:rsid w:val="00E4574E"/>
    <w:rsid w:val="00E60BDC"/>
    <w:rsid w:val="00E6607C"/>
    <w:rsid w:val="00E70778"/>
    <w:rsid w:val="00E83875"/>
    <w:rsid w:val="00E839AB"/>
    <w:rsid w:val="00E83D2C"/>
    <w:rsid w:val="00EB47BE"/>
    <w:rsid w:val="00EC1871"/>
    <w:rsid w:val="00EC40F3"/>
    <w:rsid w:val="00EC6147"/>
    <w:rsid w:val="00ED2954"/>
    <w:rsid w:val="00ED57EC"/>
    <w:rsid w:val="00EE03EE"/>
    <w:rsid w:val="00F000E2"/>
    <w:rsid w:val="00F11592"/>
    <w:rsid w:val="00F215C7"/>
    <w:rsid w:val="00F35A26"/>
    <w:rsid w:val="00F4492F"/>
    <w:rsid w:val="00F5189C"/>
    <w:rsid w:val="00F54364"/>
    <w:rsid w:val="00F64D13"/>
    <w:rsid w:val="00F653C9"/>
    <w:rsid w:val="00F71B4E"/>
    <w:rsid w:val="00F72CEB"/>
    <w:rsid w:val="00F879C5"/>
    <w:rsid w:val="00F90DFA"/>
    <w:rsid w:val="00F95926"/>
    <w:rsid w:val="00FB46C1"/>
    <w:rsid w:val="00FC4373"/>
    <w:rsid w:val="00FC487C"/>
    <w:rsid w:val="00FD42DF"/>
    <w:rsid w:val="00FD4760"/>
    <w:rsid w:val="00FE2013"/>
    <w:rsid w:val="00FE4556"/>
    <w:rsid w:val="00FE4E7A"/>
    <w:rsid w:val="00FF3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B3D0"/>
  <w15:chartTrackingRefBased/>
  <w15:docId w15:val="{AC67BF05-709D-4727-8D61-8A996114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0242"/>
    <w:pPr>
      <w:ind w:left="720"/>
      <w:contextualSpacing/>
    </w:pPr>
  </w:style>
  <w:style w:type="character" w:styleId="Collegamentoipertestuale">
    <w:name w:val="Hyperlink"/>
    <w:basedOn w:val="Carpredefinitoparagrafo"/>
    <w:uiPriority w:val="99"/>
    <w:unhideWhenUsed/>
    <w:rsid w:val="00CD0A34"/>
    <w:rPr>
      <w:color w:val="0563C1" w:themeColor="hyperlink"/>
      <w:u w:val="single"/>
    </w:rPr>
  </w:style>
  <w:style w:type="character" w:styleId="Menzionenonrisolta">
    <w:name w:val="Unresolved Mention"/>
    <w:basedOn w:val="Carpredefinitoparagrafo"/>
    <w:uiPriority w:val="99"/>
    <w:semiHidden/>
    <w:unhideWhenUsed/>
    <w:rsid w:val="00CD0A34"/>
    <w:rPr>
      <w:color w:val="605E5C"/>
      <w:shd w:val="clear" w:color="auto" w:fill="E1DFDD"/>
    </w:rPr>
  </w:style>
  <w:style w:type="character" w:styleId="Enfasigrassetto">
    <w:name w:val="Strong"/>
    <w:basedOn w:val="Carpredefinitoparagrafo"/>
    <w:uiPriority w:val="22"/>
    <w:qFormat/>
    <w:rsid w:val="00D43597"/>
    <w:rPr>
      <w:b/>
      <w:bCs/>
    </w:rPr>
  </w:style>
  <w:style w:type="character" w:styleId="Enfasicorsivo">
    <w:name w:val="Emphasis"/>
    <w:basedOn w:val="Carpredefinitoparagrafo"/>
    <w:uiPriority w:val="20"/>
    <w:qFormat/>
    <w:rsid w:val="00D43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finanze.it/DocTribFrontend/decodeurn?urn=urn:doctrib::L:2000-07-27;212_art3" TargetMode="External"/><Relationship Id="rId13" Type="http://schemas.openxmlformats.org/officeDocument/2006/relationships/hyperlink" Target="http://www.air-accidents.com" TargetMode="External"/><Relationship Id="rId3" Type="http://schemas.openxmlformats.org/officeDocument/2006/relationships/settings" Target="settings.xml"/><Relationship Id="rId7" Type="http://schemas.openxmlformats.org/officeDocument/2006/relationships/hyperlink" Target="https://www.mcgill.ca/iasl/files/iasl/aspl_633_dempsey_air_traffic_rights.pdf" TargetMode="External"/><Relationship Id="rId12"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antonio.bordoni@yahoo.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corriere.it/economia/12_novembre_21/ryanair-fisco-decreto_18b7c88c-33d7-11e2-a480-b74fe153b15c.shtml" TargetMode="External"/><Relationship Id="rId4" Type="http://schemas.openxmlformats.org/officeDocument/2006/relationships/webSettings" Target="webSettings.xml"/><Relationship Id="rId9" Type="http://schemas.openxmlformats.org/officeDocument/2006/relationships/hyperlink" Target="https://www.fulltravel.it/ryanair-norma-governo-monti-per-pagamento-contributi-e-tasse-al-via/19708/"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6</Pages>
  <Words>3052</Words>
  <Characters>17400</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473</cp:revision>
  <dcterms:created xsi:type="dcterms:W3CDTF">2022-09-25T07:20:00Z</dcterms:created>
  <dcterms:modified xsi:type="dcterms:W3CDTF">2022-10-01T05:39:00Z</dcterms:modified>
</cp:coreProperties>
</file>