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909F" w14:textId="77777777" w:rsidR="003057E5" w:rsidRPr="00AF58CE" w:rsidRDefault="003057E5" w:rsidP="003057E5">
      <w:pPr>
        <w:rPr>
          <w:b/>
          <w:bCs/>
          <w:i/>
          <w:iCs/>
          <w:color w:val="4472C4" w:themeColor="accent1"/>
        </w:rPr>
      </w:pPr>
      <w:r w:rsidRPr="00AF58CE">
        <w:rPr>
          <w:b/>
          <w:bCs/>
          <w:i/>
          <w:iCs/>
          <w:color w:val="4472C4" w:themeColor="accent1"/>
        </w:rPr>
        <w:t>Aviation-Industry-News.com</w:t>
      </w:r>
    </w:p>
    <w:p w14:paraId="3784C8AC" w14:textId="77777777" w:rsidR="002133F5" w:rsidRDefault="002133F5" w:rsidP="002133F5">
      <w:pPr>
        <w:jc w:val="center"/>
        <w:rPr>
          <w:b/>
          <w:bCs/>
          <w:sz w:val="28"/>
          <w:szCs w:val="28"/>
        </w:rPr>
      </w:pPr>
    </w:p>
    <w:p w14:paraId="175C365F" w14:textId="45DCEF9E" w:rsidR="00080E6D" w:rsidRPr="003057E5" w:rsidRDefault="003057E5" w:rsidP="003057E5">
      <w:p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 xml:space="preserve">                                               </w:t>
      </w:r>
      <w:r w:rsidR="0089537D">
        <w:rPr>
          <w:b/>
          <w:bCs/>
          <w:color w:val="2E74B5" w:themeColor="accent5" w:themeShade="BF"/>
          <w:sz w:val="28"/>
          <w:szCs w:val="28"/>
        </w:rPr>
        <w:t xml:space="preserve">LA NUOVA </w:t>
      </w:r>
      <w:r w:rsidR="009932E8" w:rsidRPr="003057E5">
        <w:rPr>
          <w:b/>
          <w:bCs/>
          <w:color w:val="2E74B5" w:themeColor="accent5" w:themeShade="BF"/>
          <w:sz w:val="28"/>
          <w:szCs w:val="28"/>
        </w:rPr>
        <w:t>ITA E LE ALTRE</w:t>
      </w:r>
    </w:p>
    <w:p w14:paraId="5FEF03E8" w14:textId="77777777" w:rsidR="003057E5" w:rsidRDefault="003057E5">
      <w:pPr>
        <w:rPr>
          <w:sz w:val="24"/>
          <w:szCs w:val="24"/>
        </w:rPr>
      </w:pPr>
    </w:p>
    <w:p w14:paraId="69DB2C57" w14:textId="30484796" w:rsidR="009932E8" w:rsidRDefault="009932E8">
      <w:pPr>
        <w:rPr>
          <w:sz w:val="24"/>
          <w:szCs w:val="24"/>
        </w:rPr>
      </w:pPr>
      <w:r w:rsidRPr="009932E8">
        <w:rPr>
          <w:sz w:val="24"/>
          <w:szCs w:val="24"/>
        </w:rPr>
        <w:t xml:space="preserve">Sono diversi anni  ormai che la nostra Alitalia si deve confrontare ai vertici del trasporto aereo italiano con </w:t>
      </w:r>
      <w:r>
        <w:rPr>
          <w:sz w:val="24"/>
          <w:szCs w:val="24"/>
        </w:rPr>
        <w:t>quattro</w:t>
      </w:r>
      <w:r w:rsidRPr="009932E8">
        <w:rPr>
          <w:sz w:val="24"/>
          <w:szCs w:val="24"/>
        </w:rPr>
        <w:t xml:space="preserve"> vettori in particolare. Una volta i concorrenti diretti si chiamavano Lufthansa, Air France, British Airways…oggi invece la troviamo in compagnia di Ryanair, Easyjet, Vueling e Wizz Air.</w:t>
      </w:r>
      <w:r>
        <w:rPr>
          <w:sz w:val="24"/>
          <w:szCs w:val="24"/>
        </w:rPr>
        <w:t xml:space="preserve"> Una analisi dei più recenti dati a disposizione</w:t>
      </w:r>
      <w:r w:rsidR="003E318B">
        <w:rPr>
          <w:sz w:val="24"/>
          <w:szCs w:val="24"/>
        </w:rPr>
        <w:t xml:space="preserve"> (anno 2020)</w:t>
      </w:r>
      <w:r>
        <w:rPr>
          <w:sz w:val="24"/>
          <w:szCs w:val="24"/>
        </w:rPr>
        <w:t xml:space="preserve"> mostra sul fronte del numero passeggeri trasportati</w:t>
      </w:r>
      <w:r w:rsidR="0046653E">
        <w:rPr>
          <w:sz w:val="24"/>
          <w:szCs w:val="24"/>
        </w:rPr>
        <w:t xml:space="preserve"> da/per l’Italia</w:t>
      </w:r>
      <w:r>
        <w:rPr>
          <w:sz w:val="24"/>
          <w:szCs w:val="24"/>
        </w:rPr>
        <w:t xml:space="preserve"> il seguente scenario</w:t>
      </w:r>
      <w:r w:rsidR="002133F5">
        <w:rPr>
          <w:sz w:val="24"/>
          <w:szCs w:val="24"/>
        </w:rPr>
        <w:t xml:space="preserve"> </w:t>
      </w:r>
      <w:r w:rsidR="002133F5" w:rsidRPr="002133F5">
        <w:rPr>
          <w:color w:val="FF0000"/>
          <w:sz w:val="18"/>
          <w:szCs w:val="18"/>
        </w:rPr>
        <w:t>(1)</w:t>
      </w:r>
      <w:r>
        <w:rPr>
          <w:sz w:val="24"/>
          <w:szCs w:val="24"/>
        </w:rPr>
        <w:t>:</w:t>
      </w:r>
    </w:p>
    <w:p w14:paraId="6B6AA6AD" w14:textId="045CB9A4" w:rsidR="009932E8" w:rsidRDefault="009932E8" w:rsidP="009932E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Ryanair</w:t>
      </w:r>
      <w:r>
        <w:rPr>
          <w:sz w:val="24"/>
          <w:szCs w:val="24"/>
        </w:rPr>
        <w:tab/>
        <w:t>11.837.000</w:t>
      </w:r>
    </w:p>
    <w:p w14:paraId="744A8411" w14:textId="2036F71B" w:rsidR="009932E8" w:rsidRDefault="009932E8" w:rsidP="009932E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Alitalia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318B">
        <w:rPr>
          <w:sz w:val="24"/>
          <w:szCs w:val="24"/>
        </w:rPr>
        <w:t xml:space="preserve"> 6.515.000</w:t>
      </w:r>
    </w:p>
    <w:p w14:paraId="77B2988D" w14:textId="45DDA72A" w:rsidR="003E318B" w:rsidRDefault="003E318B" w:rsidP="009932E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Easyjet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4.281.000</w:t>
      </w:r>
    </w:p>
    <w:p w14:paraId="7DA595C4" w14:textId="7E91C476" w:rsidR="003E318B" w:rsidRDefault="003E318B" w:rsidP="009932E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Wizz Air</w:t>
      </w:r>
      <w:r>
        <w:rPr>
          <w:sz w:val="24"/>
          <w:szCs w:val="24"/>
        </w:rPr>
        <w:tab/>
        <w:t xml:space="preserve"> 1.769.000</w:t>
      </w:r>
    </w:p>
    <w:p w14:paraId="392AE17F" w14:textId="6B765839" w:rsidR="003E318B" w:rsidRDefault="003E318B" w:rsidP="009932E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Volotea</w:t>
      </w:r>
      <w:r>
        <w:rPr>
          <w:sz w:val="24"/>
          <w:szCs w:val="24"/>
        </w:rPr>
        <w:tab/>
        <w:t xml:space="preserve"> 1.610.000</w:t>
      </w:r>
    </w:p>
    <w:p w14:paraId="362368D6" w14:textId="414DF9E8" w:rsidR="003E318B" w:rsidRDefault="003E318B" w:rsidP="003E318B">
      <w:pPr>
        <w:rPr>
          <w:sz w:val="24"/>
          <w:szCs w:val="24"/>
        </w:rPr>
      </w:pPr>
      <w:r>
        <w:rPr>
          <w:sz w:val="24"/>
          <w:szCs w:val="24"/>
        </w:rPr>
        <w:t xml:space="preserve">L’anno 2020, come ben sappiamo, è un anno atipico tale da fornire scarse indicazioni sulla performance delle singole compagnie aeree </w:t>
      </w:r>
      <w:r w:rsidR="002133F5">
        <w:rPr>
          <w:sz w:val="24"/>
          <w:szCs w:val="24"/>
        </w:rPr>
        <w:t xml:space="preserve">e ciò </w:t>
      </w:r>
      <w:r>
        <w:rPr>
          <w:sz w:val="24"/>
          <w:szCs w:val="24"/>
        </w:rPr>
        <w:t>a causa della pandemia che ha costretto a tenere a terre le flotte di tutte le compagnie riducendo in modo drastico il numero voli effettuati. Tuttavia se noi ci spostiamo al 2019</w:t>
      </w:r>
      <w:r w:rsidR="00212C17">
        <w:rPr>
          <w:sz w:val="24"/>
          <w:szCs w:val="24"/>
        </w:rPr>
        <w:t>,</w:t>
      </w:r>
      <w:r>
        <w:rPr>
          <w:sz w:val="24"/>
          <w:szCs w:val="24"/>
        </w:rPr>
        <w:t xml:space="preserve"> ultimo anno in cui si è operato normalmente, la situazione era pressochè identica:</w:t>
      </w:r>
    </w:p>
    <w:p w14:paraId="2FAAF803" w14:textId="4CF946BB" w:rsidR="003E318B" w:rsidRDefault="003E318B" w:rsidP="003E318B">
      <w:pPr>
        <w:rPr>
          <w:sz w:val="24"/>
          <w:szCs w:val="24"/>
        </w:rPr>
      </w:pPr>
    </w:p>
    <w:p w14:paraId="121B6441" w14:textId="5CBC0D6A" w:rsidR="003E318B" w:rsidRDefault="003E318B" w:rsidP="003E318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Ryanair</w:t>
      </w:r>
      <w:r>
        <w:rPr>
          <w:sz w:val="24"/>
          <w:szCs w:val="24"/>
        </w:rPr>
        <w:tab/>
        <w:t>40.527.000</w:t>
      </w:r>
    </w:p>
    <w:p w14:paraId="355B7559" w14:textId="49BCE18C" w:rsidR="003E318B" w:rsidRDefault="003E318B" w:rsidP="003E318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Alitalia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21.770.000</w:t>
      </w:r>
    </w:p>
    <w:p w14:paraId="6E258854" w14:textId="0FED94E7" w:rsidR="003E318B" w:rsidRDefault="003E318B" w:rsidP="003E318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Easyjet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  <w:r w:rsidR="00165251">
        <w:rPr>
          <w:sz w:val="24"/>
          <w:szCs w:val="24"/>
        </w:rPr>
        <w:t>235.</w:t>
      </w:r>
      <w:r>
        <w:rPr>
          <w:sz w:val="24"/>
          <w:szCs w:val="24"/>
        </w:rPr>
        <w:t>000</w:t>
      </w:r>
    </w:p>
    <w:p w14:paraId="67480624" w14:textId="159724D5" w:rsidR="003E318B" w:rsidRDefault="00165251" w:rsidP="003E318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Vueling</w:t>
      </w:r>
      <w:r>
        <w:rPr>
          <w:sz w:val="24"/>
          <w:szCs w:val="24"/>
        </w:rPr>
        <w:tab/>
        <w:t xml:space="preserve"> </w:t>
      </w:r>
      <w:r w:rsidR="00473B56">
        <w:rPr>
          <w:sz w:val="24"/>
          <w:szCs w:val="24"/>
        </w:rPr>
        <w:t xml:space="preserve"> </w:t>
      </w:r>
      <w:r>
        <w:rPr>
          <w:sz w:val="24"/>
          <w:szCs w:val="24"/>
        </w:rPr>
        <w:t>6.387.000</w:t>
      </w:r>
    </w:p>
    <w:p w14:paraId="550F8BE7" w14:textId="626CBF37" w:rsidR="00165251" w:rsidRDefault="00165251" w:rsidP="003E318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Wizz Air</w:t>
      </w:r>
      <w:r>
        <w:rPr>
          <w:sz w:val="24"/>
          <w:szCs w:val="24"/>
        </w:rPr>
        <w:tab/>
      </w:r>
      <w:r w:rsidR="00212C17">
        <w:rPr>
          <w:sz w:val="24"/>
          <w:szCs w:val="24"/>
        </w:rPr>
        <w:t xml:space="preserve"> </w:t>
      </w:r>
      <w:r w:rsidR="00473B56">
        <w:rPr>
          <w:sz w:val="24"/>
          <w:szCs w:val="24"/>
        </w:rPr>
        <w:t xml:space="preserve"> </w:t>
      </w:r>
      <w:r>
        <w:rPr>
          <w:sz w:val="24"/>
          <w:szCs w:val="24"/>
        </w:rPr>
        <w:t>5.145.000</w:t>
      </w:r>
    </w:p>
    <w:p w14:paraId="58C4415D" w14:textId="7D233744" w:rsidR="00212C17" w:rsidRDefault="00212C17" w:rsidP="00212C17">
      <w:pPr>
        <w:rPr>
          <w:sz w:val="24"/>
          <w:szCs w:val="24"/>
        </w:rPr>
      </w:pPr>
      <w:r>
        <w:rPr>
          <w:sz w:val="24"/>
          <w:szCs w:val="24"/>
        </w:rPr>
        <w:t xml:space="preserve">Il filo comune che lega le quattro compagnie straniere è che esse sono </w:t>
      </w:r>
      <w:r w:rsidR="002133F5">
        <w:rPr>
          <w:sz w:val="24"/>
          <w:szCs w:val="24"/>
        </w:rPr>
        <w:t>vettori</w:t>
      </w:r>
      <w:r>
        <w:rPr>
          <w:sz w:val="24"/>
          <w:szCs w:val="24"/>
        </w:rPr>
        <w:t xml:space="preserve"> di “ultima generazione” volendo con ciò significare che sono nate di recente ed hanno in pochi anni surclassato -almeno sul mercato italiano- i vettori tradizionali come appunto</w:t>
      </w:r>
      <w:r w:rsidR="005B075D">
        <w:rPr>
          <w:sz w:val="24"/>
          <w:szCs w:val="24"/>
        </w:rPr>
        <w:t xml:space="preserve"> quelli sopra ricordati quali</w:t>
      </w:r>
      <w:r>
        <w:rPr>
          <w:sz w:val="24"/>
          <w:szCs w:val="24"/>
        </w:rPr>
        <w:t xml:space="preserve"> KLM, Air France, British Airways e Lufthansa. Quest’ultime compagnie, come è noto, sono attive principalmente sul lungo raggio e</w:t>
      </w:r>
      <w:r w:rsidR="005B075D">
        <w:rPr>
          <w:sz w:val="24"/>
          <w:szCs w:val="24"/>
        </w:rPr>
        <w:t>d</w:t>
      </w:r>
      <w:r>
        <w:rPr>
          <w:sz w:val="24"/>
          <w:szCs w:val="24"/>
        </w:rPr>
        <w:t xml:space="preserve"> erano solite catturare traffico italiano per instradarlo  </w:t>
      </w:r>
      <w:r w:rsidR="005B075D">
        <w:rPr>
          <w:sz w:val="24"/>
          <w:szCs w:val="24"/>
        </w:rPr>
        <w:t xml:space="preserve">sui </w:t>
      </w:r>
      <w:r>
        <w:rPr>
          <w:sz w:val="24"/>
          <w:szCs w:val="24"/>
        </w:rPr>
        <w:t xml:space="preserve">loro hub </w:t>
      </w:r>
      <w:r w:rsidR="005B075D">
        <w:rPr>
          <w:sz w:val="24"/>
          <w:szCs w:val="24"/>
        </w:rPr>
        <w:t xml:space="preserve">e da qui condurli </w:t>
      </w:r>
      <w:r w:rsidR="00473B56">
        <w:rPr>
          <w:sz w:val="24"/>
          <w:szCs w:val="24"/>
        </w:rPr>
        <w:t>verso</w:t>
      </w:r>
      <w:r>
        <w:rPr>
          <w:sz w:val="24"/>
          <w:szCs w:val="24"/>
        </w:rPr>
        <w:t xml:space="preserve"> destinazioni intercontinentali.  </w:t>
      </w:r>
      <w:r w:rsidR="005B075D">
        <w:rPr>
          <w:sz w:val="24"/>
          <w:szCs w:val="24"/>
        </w:rPr>
        <w:t xml:space="preserve">La </w:t>
      </w:r>
      <w:r w:rsidR="002133F5" w:rsidRPr="002133F5">
        <w:rPr>
          <w:i/>
          <w:iCs/>
          <w:sz w:val="24"/>
          <w:szCs w:val="24"/>
        </w:rPr>
        <w:t>debacle</w:t>
      </w:r>
      <w:r w:rsidR="005B075D">
        <w:rPr>
          <w:sz w:val="24"/>
          <w:szCs w:val="24"/>
        </w:rPr>
        <w:t xml:space="preserve"> di questi vettori dai vertici della graduatoria </w:t>
      </w:r>
      <w:r>
        <w:rPr>
          <w:sz w:val="24"/>
          <w:szCs w:val="24"/>
        </w:rPr>
        <w:t xml:space="preserve"> ci fa capire che il traffico </w:t>
      </w:r>
      <w:r w:rsidR="005B075D">
        <w:rPr>
          <w:sz w:val="24"/>
          <w:szCs w:val="24"/>
        </w:rPr>
        <w:t>prima</w:t>
      </w:r>
      <w:r>
        <w:rPr>
          <w:sz w:val="24"/>
          <w:szCs w:val="24"/>
        </w:rPr>
        <w:t xml:space="preserve">rio dei nostri aeroporti </w:t>
      </w:r>
      <w:r w:rsidR="005B075D">
        <w:rPr>
          <w:sz w:val="24"/>
          <w:szCs w:val="24"/>
        </w:rPr>
        <w:t>è ormai quello del</w:t>
      </w:r>
      <w:r>
        <w:rPr>
          <w:sz w:val="24"/>
          <w:szCs w:val="24"/>
        </w:rPr>
        <w:t xml:space="preserve"> medio e corto raggio come è dimostrato da</w:t>
      </w:r>
      <w:r w:rsidR="002133F5">
        <w:rPr>
          <w:sz w:val="24"/>
          <w:szCs w:val="24"/>
        </w:rPr>
        <w:t>lla regolare crescita, sempre sui nostri scali, dei tre big del Medio Oriente:</w:t>
      </w:r>
      <w:r>
        <w:rPr>
          <w:sz w:val="24"/>
          <w:szCs w:val="24"/>
        </w:rPr>
        <w:t xml:space="preserve"> Emirates, Qatar Airways e Ethiad</w:t>
      </w:r>
      <w:r w:rsidR="002133F5">
        <w:rPr>
          <w:sz w:val="24"/>
          <w:szCs w:val="24"/>
        </w:rPr>
        <w:t>.</w:t>
      </w:r>
    </w:p>
    <w:p w14:paraId="275475A2" w14:textId="3E5AFC12" w:rsidR="00825C71" w:rsidRDefault="00825C71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3B56">
        <w:rPr>
          <w:i/>
          <w:iCs/>
          <w:sz w:val="24"/>
          <w:szCs w:val="24"/>
        </w:rPr>
        <w:t>Emirates</w:t>
      </w:r>
      <w:r w:rsidRPr="00473B56">
        <w:rPr>
          <w:i/>
          <w:iCs/>
          <w:sz w:val="24"/>
          <w:szCs w:val="24"/>
        </w:rPr>
        <w:tab/>
      </w:r>
      <w:r w:rsidRPr="00473B56">
        <w:rPr>
          <w:i/>
          <w:iCs/>
          <w:sz w:val="24"/>
          <w:szCs w:val="24"/>
        </w:rPr>
        <w:tab/>
        <w:t>Qatar Aw</w:t>
      </w:r>
      <w:r w:rsidRPr="00473B56">
        <w:rPr>
          <w:i/>
          <w:iCs/>
          <w:sz w:val="24"/>
          <w:szCs w:val="24"/>
        </w:rPr>
        <w:tab/>
      </w:r>
      <w:r w:rsidRPr="00473B56">
        <w:rPr>
          <w:i/>
          <w:iCs/>
          <w:sz w:val="24"/>
          <w:szCs w:val="24"/>
        </w:rPr>
        <w:tab/>
        <w:t>Etihad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Totale</w:t>
      </w:r>
    </w:p>
    <w:p w14:paraId="38148838" w14:textId="5C2AAACE" w:rsidR="00212C17" w:rsidRDefault="00212C17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2016</w:t>
      </w:r>
      <w:r w:rsidR="00825C71">
        <w:rPr>
          <w:sz w:val="24"/>
          <w:szCs w:val="24"/>
        </w:rPr>
        <w:tab/>
      </w:r>
      <w:r w:rsidR="00825C71">
        <w:rPr>
          <w:sz w:val="24"/>
          <w:szCs w:val="24"/>
        </w:rPr>
        <w:tab/>
        <w:t>1.850.000</w:t>
      </w:r>
      <w:r w:rsidR="00825C71">
        <w:rPr>
          <w:sz w:val="24"/>
          <w:szCs w:val="24"/>
        </w:rPr>
        <w:tab/>
      </w:r>
      <w:r w:rsidR="00825C71">
        <w:rPr>
          <w:sz w:val="24"/>
          <w:szCs w:val="24"/>
        </w:rPr>
        <w:tab/>
        <w:t>792.000</w:t>
      </w:r>
      <w:r w:rsidR="00825C71">
        <w:rPr>
          <w:sz w:val="24"/>
          <w:szCs w:val="24"/>
        </w:rPr>
        <w:tab/>
      </w:r>
      <w:r w:rsidR="00825C71">
        <w:rPr>
          <w:sz w:val="24"/>
          <w:szCs w:val="24"/>
        </w:rPr>
        <w:tab/>
        <w:t>376.000</w:t>
      </w:r>
      <w:r w:rsidR="003F7C96">
        <w:rPr>
          <w:sz w:val="24"/>
          <w:szCs w:val="24"/>
        </w:rPr>
        <w:tab/>
        <w:t>3.018.000</w:t>
      </w:r>
    </w:p>
    <w:p w14:paraId="3D29DE56" w14:textId="731F00B8" w:rsidR="00212C17" w:rsidRDefault="00212C17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2017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1.936.000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850.000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442.000</w:t>
      </w:r>
      <w:r w:rsidR="003F7C96">
        <w:rPr>
          <w:sz w:val="24"/>
          <w:szCs w:val="24"/>
        </w:rPr>
        <w:tab/>
        <w:t>3.228.000</w:t>
      </w:r>
    </w:p>
    <w:p w14:paraId="3DEF9DA0" w14:textId="2DF441F2" w:rsidR="00825C71" w:rsidRDefault="00212C17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1.950.000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946.000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474.000</w:t>
      </w:r>
      <w:r w:rsidR="003F7C96">
        <w:rPr>
          <w:sz w:val="24"/>
          <w:szCs w:val="24"/>
        </w:rPr>
        <w:tab/>
        <w:t>3.370.000</w:t>
      </w:r>
    </w:p>
    <w:p w14:paraId="4937B9DC" w14:textId="3E84CA67" w:rsidR="00825C71" w:rsidRDefault="00825C71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1.912.000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1.051.000</w:t>
      </w:r>
      <w:r w:rsidR="003F7C96">
        <w:rPr>
          <w:sz w:val="24"/>
          <w:szCs w:val="24"/>
        </w:rPr>
        <w:tab/>
      </w:r>
      <w:r w:rsidR="003F7C96">
        <w:rPr>
          <w:sz w:val="24"/>
          <w:szCs w:val="24"/>
        </w:rPr>
        <w:tab/>
        <w:t>524.000</w:t>
      </w:r>
      <w:r w:rsidR="003F7C96">
        <w:rPr>
          <w:sz w:val="24"/>
          <w:szCs w:val="24"/>
        </w:rPr>
        <w:tab/>
      </w:r>
      <w:r w:rsidR="00370095">
        <w:rPr>
          <w:sz w:val="24"/>
          <w:szCs w:val="24"/>
        </w:rPr>
        <w:t>3.487.000</w:t>
      </w:r>
    </w:p>
    <w:p w14:paraId="0755A0C5" w14:textId="7B0566C0" w:rsidR="009058F0" w:rsidRDefault="009058F0" w:rsidP="00825C71">
      <w:pPr>
        <w:spacing w:after="0"/>
        <w:rPr>
          <w:sz w:val="24"/>
          <w:szCs w:val="24"/>
        </w:rPr>
      </w:pPr>
    </w:p>
    <w:p w14:paraId="71C51C36" w14:textId="336A2CBF" w:rsidR="009058F0" w:rsidRDefault="009058F0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crescita di queste compagnie  ci </w:t>
      </w:r>
      <w:r w:rsidR="005B4B89">
        <w:rPr>
          <w:sz w:val="24"/>
          <w:szCs w:val="24"/>
        </w:rPr>
        <w:t>mostra</w:t>
      </w:r>
      <w:r>
        <w:rPr>
          <w:sz w:val="24"/>
          <w:szCs w:val="24"/>
        </w:rPr>
        <w:t xml:space="preserve"> come esse si sono in pratica sostituite alle big europee nel catturare traffico </w:t>
      </w:r>
      <w:r w:rsidRPr="002133F5">
        <w:rPr>
          <w:i/>
          <w:iCs/>
          <w:sz w:val="24"/>
          <w:szCs w:val="24"/>
        </w:rPr>
        <w:t>long haul</w:t>
      </w:r>
      <w:r>
        <w:rPr>
          <w:sz w:val="24"/>
          <w:szCs w:val="24"/>
        </w:rPr>
        <w:t xml:space="preserve"> in particolare sulle dirett</w:t>
      </w:r>
      <w:r w:rsidR="005B4B89">
        <w:rPr>
          <w:sz w:val="24"/>
          <w:szCs w:val="24"/>
        </w:rPr>
        <w:t>rici</w:t>
      </w:r>
      <w:r>
        <w:rPr>
          <w:sz w:val="24"/>
          <w:szCs w:val="24"/>
        </w:rPr>
        <w:t xml:space="preserve"> Asia-Pacifico-Africa. In aggiunta a</w:t>
      </w:r>
      <w:r w:rsidR="002133F5">
        <w:rPr>
          <w:sz w:val="24"/>
          <w:szCs w:val="24"/>
        </w:rPr>
        <w:t xml:space="preserve"> questi tre vettori</w:t>
      </w:r>
      <w:r>
        <w:rPr>
          <w:sz w:val="24"/>
          <w:szCs w:val="24"/>
        </w:rPr>
        <w:t xml:space="preserve"> </w:t>
      </w:r>
      <w:r w:rsidR="005B4B89">
        <w:rPr>
          <w:sz w:val="24"/>
          <w:szCs w:val="24"/>
        </w:rPr>
        <w:t>è anche opportuno</w:t>
      </w:r>
      <w:r>
        <w:rPr>
          <w:sz w:val="24"/>
          <w:szCs w:val="24"/>
        </w:rPr>
        <w:t xml:space="preserve"> </w:t>
      </w:r>
      <w:r w:rsidR="002133F5">
        <w:rPr>
          <w:sz w:val="24"/>
          <w:szCs w:val="24"/>
        </w:rPr>
        <w:t>ricordare  la</w:t>
      </w:r>
      <w:r>
        <w:rPr>
          <w:sz w:val="24"/>
          <w:szCs w:val="24"/>
        </w:rPr>
        <w:t xml:space="preserve"> crescita avuta dalla Turkish Airlines sul nostr</w:t>
      </w:r>
      <w:r w:rsidR="002133F5">
        <w:rPr>
          <w:sz w:val="24"/>
          <w:szCs w:val="24"/>
        </w:rPr>
        <w:t>o</w:t>
      </w:r>
      <w:r>
        <w:rPr>
          <w:sz w:val="24"/>
          <w:szCs w:val="24"/>
        </w:rPr>
        <w:t xml:space="preserve"> mercato:</w:t>
      </w:r>
    </w:p>
    <w:p w14:paraId="0424C031" w14:textId="33D3635D" w:rsidR="009058F0" w:rsidRDefault="009058F0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1.555.000</w:t>
      </w:r>
    </w:p>
    <w:p w14:paraId="04546516" w14:textId="79780B45" w:rsidR="009058F0" w:rsidRDefault="009058F0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1.552.000</w:t>
      </w:r>
    </w:p>
    <w:p w14:paraId="00D78B5B" w14:textId="3E95D828" w:rsidR="009058F0" w:rsidRDefault="009058F0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1.679.000</w:t>
      </w:r>
    </w:p>
    <w:p w14:paraId="1943D501" w14:textId="3B0133D5" w:rsidR="009058F0" w:rsidRDefault="009058F0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1.689.000 </w:t>
      </w:r>
    </w:p>
    <w:p w14:paraId="382E3A89" w14:textId="60887089" w:rsidR="006606F9" w:rsidRDefault="006606F9" w:rsidP="00825C71">
      <w:pPr>
        <w:spacing w:after="0"/>
        <w:rPr>
          <w:sz w:val="24"/>
          <w:szCs w:val="24"/>
        </w:rPr>
      </w:pPr>
    </w:p>
    <w:p w14:paraId="6D521EA5" w14:textId="65848555" w:rsidR="006606F9" w:rsidRDefault="006606F9" w:rsidP="00825C7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FBF6EF" wp14:editId="63BD17CA">
            <wp:extent cx="6120130" cy="3543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2509" w14:textId="77777777" w:rsidR="006606F9" w:rsidRDefault="006606F9" w:rsidP="00825C71">
      <w:pPr>
        <w:spacing w:after="0"/>
        <w:rPr>
          <w:sz w:val="24"/>
          <w:szCs w:val="24"/>
        </w:rPr>
      </w:pPr>
    </w:p>
    <w:p w14:paraId="646A4C23" w14:textId="6549016A" w:rsidR="009058F0" w:rsidRPr="005B4B89" w:rsidRDefault="006606F9" w:rsidP="00825C7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Quanto detto sul ruolo primario svolto dai collegamenti a breve medio raggio è confermato dall’immagine sopra riportata </w:t>
      </w:r>
      <w:r w:rsidRPr="006606F9">
        <w:rPr>
          <w:color w:val="FF0000"/>
          <w:sz w:val="18"/>
          <w:szCs w:val="18"/>
        </w:rPr>
        <w:t>(2)</w:t>
      </w:r>
      <w:r w:rsidRPr="006606F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che mostra </w:t>
      </w:r>
      <w:r w:rsidRPr="005B4B89">
        <w:rPr>
          <w:b/>
          <w:bCs/>
          <w:sz w:val="24"/>
          <w:szCs w:val="24"/>
        </w:rPr>
        <w:t>come il 76,9 per cento del traffico</w:t>
      </w:r>
      <w:r w:rsidR="00D314A7" w:rsidRPr="005B4B89">
        <w:rPr>
          <w:b/>
          <w:bCs/>
          <w:sz w:val="24"/>
          <w:szCs w:val="24"/>
        </w:rPr>
        <w:t xml:space="preserve"> internazionale</w:t>
      </w:r>
      <w:r w:rsidRPr="005B4B89">
        <w:rPr>
          <w:b/>
          <w:bCs/>
          <w:sz w:val="24"/>
          <w:szCs w:val="24"/>
        </w:rPr>
        <w:t xml:space="preserve"> sui nostri aeroporti riguardi ormai destinazioni UE.</w:t>
      </w:r>
    </w:p>
    <w:p w14:paraId="3CC82C3B" w14:textId="41090E39" w:rsidR="00C40113" w:rsidRDefault="00C40113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Possiamo pertanto affermare che il traffico inter</w:t>
      </w:r>
      <w:r w:rsidR="00A602A2">
        <w:rPr>
          <w:sz w:val="24"/>
          <w:szCs w:val="24"/>
        </w:rPr>
        <w:t>continentale in uscita (</w:t>
      </w:r>
      <w:r w:rsidR="005B4B89">
        <w:rPr>
          <w:sz w:val="24"/>
          <w:szCs w:val="24"/>
        </w:rPr>
        <w:t>e</w:t>
      </w:r>
      <w:r w:rsidR="00A602A2">
        <w:rPr>
          <w:sz w:val="24"/>
          <w:szCs w:val="24"/>
        </w:rPr>
        <w:t xml:space="preserve"> entrata) in Italia sia </w:t>
      </w:r>
      <w:r w:rsidR="00DD4ECB">
        <w:rPr>
          <w:sz w:val="24"/>
          <w:szCs w:val="24"/>
        </w:rPr>
        <w:t>oggi appannaggio</w:t>
      </w:r>
      <w:r w:rsidR="00A602A2">
        <w:rPr>
          <w:sz w:val="24"/>
          <w:szCs w:val="24"/>
        </w:rPr>
        <w:t xml:space="preserve"> d</w:t>
      </w:r>
      <w:r w:rsidR="00DD4ECB">
        <w:rPr>
          <w:sz w:val="24"/>
          <w:szCs w:val="24"/>
        </w:rPr>
        <w:t>e</w:t>
      </w:r>
      <w:r w:rsidR="00A602A2">
        <w:rPr>
          <w:sz w:val="24"/>
          <w:szCs w:val="24"/>
        </w:rPr>
        <w:t>i 4 vettori da noi menzionati per quanto riguarda i settor</w:t>
      </w:r>
      <w:r w:rsidR="005B4B89">
        <w:rPr>
          <w:sz w:val="24"/>
          <w:szCs w:val="24"/>
        </w:rPr>
        <w:t>i</w:t>
      </w:r>
      <w:r w:rsidR="00A602A2">
        <w:rPr>
          <w:sz w:val="24"/>
          <w:szCs w:val="24"/>
        </w:rPr>
        <w:t xml:space="preserve"> Africa-Asia-Pacifico, mentre per </w:t>
      </w:r>
      <w:r w:rsidR="00DD4ECB">
        <w:rPr>
          <w:sz w:val="24"/>
          <w:szCs w:val="24"/>
        </w:rPr>
        <w:t>q</w:t>
      </w:r>
      <w:r w:rsidR="00A602A2">
        <w:rPr>
          <w:sz w:val="24"/>
          <w:szCs w:val="24"/>
        </w:rPr>
        <w:t>u</w:t>
      </w:r>
      <w:r w:rsidR="00DD4ECB">
        <w:rPr>
          <w:sz w:val="24"/>
          <w:szCs w:val="24"/>
        </w:rPr>
        <w:t>a</w:t>
      </w:r>
      <w:r w:rsidR="00A602A2">
        <w:rPr>
          <w:sz w:val="24"/>
          <w:szCs w:val="24"/>
        </w:rPr>
        <w:t xml:space="preserve">nto riguarda le destinazioni occidentali ovvero quelle dell’America del Nord, Centrale e del Sud </w:t>
      </w:r>
      <w:r w:rsidR="00DD4ECB">
        <w:rPr>
          <w:sz w:val="24"/>
          <w:szCs w:val="24"/>
        </w:rPr>
        <w:t>i passeggeri</w:t>
      </w:r>
      <w:r w:rsidR="00A602A2">
        <w:rPr>
          <w:sz w:val="24"/>
          <w:szCs w:val="24"/>
        </w:rPr>
        <w:t xml:space="preserve"> </w:t>
      </w:r>
      <w:r w:rsidR="00DD4ECB">
        <w:rPr>
          <w:sz w:val="24"/>
          <w:szCs w:val="24"/>
        </w:rPr>
        <w:t>puntano su voli</w:t>
      </w:r>
      <w:r w:rsidR="00A602A2">
        <w:rPr>
          <w:sz w:val="24"/>
          <w:szCs w:val="24"/>
        </w:rPr>
        <w:t xml:space="preserve"> via Madrid, Parigi, Londra e Francoforte avvalendosi questa volta delle tradizionali majors. </w:t>
      </w:r>
      <w:r w:rsidR="00492550">
        <w:rPr>
          <w:sz w:val="24"/>
          <w:szCs w:val="24"/>
        </w:rPr>
        <w:t>Sui nostri scali q</w:t>
      </w:r>
      <w:r w:rsidR="00A602A2">
        <w:rPr>
          <w:sz w:val="24"/>
          <w:szCs w:val="24"/>
        </w:rPr>
        <w:t xml:space="preserve">ueste nell’anno 2020 hanno visto al primo posto (sesto in realtà </w:t>
      </w:r>
      <w:r w:rsidR="00826CDD">
        <w:rPr>
          <w:sz w:val="24"/>
          <w:szCs w:val="24"/>
        </w:rPr>
        <w:t>nell</w:t>
      </w:r>
      <w:r w:rsidR="00A602A2">
        <w:rPr>
          <w:sz w:val="24"/>
          <w:szCs w:val="24"/>
        </w:rPr>
        <w:t>a graduatoria complessiva) la Lufthansa con 1.017.000 passeggeri, la Air France 918.000 passeggeri, la British Airways con 893.000  la KLM con 642.000</w:t>
      </w:r>
      <w:r w:rsidR="005B4B89">
        <w:rPr>
          <w:sz w:val="24"/>
          <w:szCs w:val="24"/>
        </w:rPr>
        <w:t xml:space="preserve">, Iberia con 348.000 </w:t>
      </w:r>
      <w:r w:rsidR="00A602A2">
        <w:rPr>
          <w:sz w:val="24"/>
          <w:szCs w:val="24"/>
        </w:rPr>
        <w:t xml:space="preserve"> </w:t>
      </w:r>
      <w:r w:rsidR="00A602A2" w:rsidRPr="00492550">
        <w:rPr>
          <w:color w:val="FF0000"/>
          <w:sz w:val="18"/>
          <w:szCs w:val="18"/>
        </w:rPr>
        <w:t>(3)</w:t>
      </w:r>
      <w:r w:rsidR="00A602A2">
        <w:rPr>
          <w:sz w:val="24"/>
          <w:szCs w:val="24"/>
        </w:rPr>
        <w:t>.</w:t>
      </w:r>
    </w:p>
    <w:p w14:paraId="43028529" w14:textId="1CF84DB8" w:rsidR="00DD4ECB" w:rsidRPr="00AF6863" w:rsidRDefault="00DD4ECB" w:rsidP="00825C71">
      <w:pPr>
        <w:spacing w:after="0"/>
        <w:rPr>
          <w:b/>
          <w:bCs/>
          <w:sz w:val="24"/>
          <w:szCs w:val="24"/>
        </w:rPr>
      </w:pPr>
      <w:r w:rsidRPr="00AF6863">
        <w:rPr>
          <w:b/>
          <w:bCs/>
          <w:sz w:val="24"/>
          <w:szCs w:val="24"/>
        </w:rPr>
        <w:t>Quando parliamo di destinazioni intercontinentali e di relativi instradamenti con vettori stranieri non dobbiamo dimenticare l’esiguità del numero destinazioni servite da Alitalia al confronto con la molteplicità di città servite</w:t>
      </w:r>
      <w:r w:rsidR="00492550" w:rsidRPr="00AF6863">
        <w:rPr>
          <w:b/>
          <w:bCs/>
          <w:sz w:val="24"/>
          <w:szCs w:val="24"/>
        </w:rPr>
        <w:t xml:space="preserve"> invece</w:t>
      </w:r>
      <w:r w:rsidRPr="00AF6863">
        <w:rPr>
          <w:b/>
          <w:bCs/>
          <w:sz w:val="24"/>
          <w:szCs w:val="24"/>
        </w:rPr>
        <w:t xml:space="preserve"> dall</w:t>
      </w:r>
      <w:r w:rsidR="00AF6863">
        <w:rPr>
          <w:b/>
          <w:bCs/>
          <w:sz w:val="24"/>
          <w:szCs w:val="24"/>
        </w:rPr>
        <w:t>e</w:t>
      </w:r>
      <w:r w:rsidRPr="00AF6863">
        <w:rPr>
          <w:b/>
          <w:bCs/>
          <w:sz w:val="24"/>
          <w:szCs w:val="24"/>
        </w:rPr>
        <w:t xml:space="preserve"> majors europee.</w:t>
      </w:r>
    </w:p>
    <w:p w14:paraId="6A815F56" w14:textId="00335417" w:rsidR="00B465CA" w:rsidRDefault="00B465CA" w:rsidP="00825C71">
      <w:pPr>
        <w:spacing w:after="0"/>
        <w:rPr>
          <w:sz w:val="24"/>
          <w:szCs w:val="24"/>
        </w:rPr>
      </w:pPr>
    </w:p>
    <w:p w14:paraId="7CC88DC3" w14:textId="7927D936" w:rsidR="00492550" w:rsidRPr="00AF6863" w:rsidRDefault="00B465CA" w:rsidP="00825C71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Collegando queste nostre osservazioni </w:t>
      </w:r>
      <w:r w:rsidRPr="00AF6863">
        <w:rPr>
          <w:b/>
          <w:bCs/>
          <w:sz w:val="24"/>
          <w:szCs w:val="24"/>
        </w:rPr>
        <w:t>con il piano industriale pres</w:t>
      </w:r>
      <w:r w:rsidR="00743A0A" w:rsidRPr="00AF6863">
        <w:rPr>
          <w:b/>
          <w:bCs/>
          <w:sz w:val="24"/>
          <w:szCs w:val="24"/>
        </w:rPr>
        <w:t>en</w:t>
      </w:r>
      <w:r w:rsidRPr="00AF6863">
        <w:rPr>
          <w:b/>
          <w:bCs/>
          <w:sz w:val="24"/>
          <w:szCs w:val="24"/>
        </w:rPr>
        <w:t>tato da ITA</w:t>
      </w:r>
      <w:r>
        <w:rPr>
          <w:sz w:val="24"/>
          <w:szCs w:val="24"/>
        </w:rPr>
        <w:t xml:space="preserve">, dobbiamo notare come </w:t>
      </w:r>
      <w:r w:rsidR="00743A0A">
        <w:rPr>
          <w:sz w:val="24"/>
          <w:szCs w:val="24"/>
        </w:rPr>
        <w:t>sul lungo raggio la nuova compagnia collegherà inizialmente solo 4 città: New York, Boston, Miami e Tokyo</w:t>
      </w:r>
      <w:r w:rsidR="001D3E50">
        <w:rPr>
          <w:sz w:val="24"/>
          <w:szCs w:val="24"/>
        </w:rPr>
        <w:t xml:space="preserve">, alle quali nella prossima </w:t>
      </w:r>
      <w:r w:rsidR="001D3E50" w:rsidRPr="00181376">
        <w:rPr>
          <w:i/>
          <w:iCs/>
          <w:sz w:val="24"/>
          <w:szCs w:val="24"/>
        </w:rPr>
        <w:t>summer sea</w:t>
      </w:r>
      <w:r w:rsidR="00181376" w:rsidRPr="00181376">
        <w:rPr>
          <w:i/>
          <w:iCs/>
          <w:sz w:val="24"/>
          <w:szCs w:val="24"/>
        </w:rPr>
        <w:t>so</w:t>
      </w:r>
      <w:r w:rsidR="001D3E50" w:rsidRPr="00181376">
        <w:rPr>
          <w:i/>
          <w:iCs/>
          <w:sz w:val="24"/>
          <w:szCs w:val="24"/>
        </w:rPr>
        <w:t>n</w:t>
      </w:r>
      <w:r w:rsidR="001D3E50">
        <w:rPr>
          <w:sz w:val="24"/>
          <w:szCs w:val="24"/>
        </w:rPr>
        <w:t xml:space="preserve"> 2022 dovrebbero aggiungersi San </w:t>
      </w:r>
      <w:r w:rsidR="00181376">
        <w:rPr>
          <w:sz w:val="24"/>
          <w:szCs w:val="24"/>
        </w:rPr>
        <w:t>P</w:t>
      </w:r>
      <w:r w:rsidR="001D3E50">
        <w:rPr>
          <w:sz w:val="24"/>
          <w:szCs w:val="24"/>
        </w:rPr>
        <w:t>aolo, Buenos Aires, Washing</w:t>
      </w:r>
      <w:r w:rsidR="00EF040A">
        <w:rPr>
          <w:sz w:val="24"/>
          <w:szCs w:val="24"/>
        </w:rPr>
        <w:t>t</w:t>
      </w:r>
      <w:r w:rsidR="001D3E50">
        <w:rPr>
          <w:sz w:val="24"/>
          <w:szCs w:val="24"/>
        </w:rPr>
        <w:t>on e Los Angeles.</w:t>
      </w:r>
      <w:r w:rsidR="00181376">
        <w:rPr>
          <w:sz w:val="24"/>
          <w:szCs w:val="24"/>
        </w:rPr>
        <w:t xml:space="preserve"> </w:t>
      </w:r>
      <w:r w:rsidR="00492550">
        <w:rPr>
          <w:sz w:val="24"/>
          <w:szCs w:val="24"/>
        </w:rPr>
        <w:t>Questa decisione di partire con solo 4 destinazioni per poi</w:t>
      </w:r>
      <w:r w:rsidR="00AF6863">
        <w:rPr>
          <w:sz w:val="24"/>
          <w:szCs w:val="24"/>
        </w:rPr>
        <w:t>,</w:t>
      </w:r>
      <w:r w:rsidR="00492550">
        <w:rPr>
          <w:sz w:val="24"/>
          <w:szCs w:val="24"/>
        </w:rPr>
        <w:t xml:space="preserve"> in un secondo momento</w:t>
      </w:r>
      <w:r w:rsidR="00AF6863">
        <w:rPr>
          <w:sz w:val="24"/>
          <w:szCs w:val="24"/>
        </w:rPr>
        <w:t>,</w:t>
      </w:r>
      <w:r w:rsidR="00492550">
        <w:rPr>
          <w:sz w:val="24"/>
          <w:szCs w:val="24"/>
        </w:rPr>
        <w:t xml:space="preserve"> aggiungerne altre dimostra che il nuovo vettore non intende consolidarsi su specifiche aree offrendo destinazioni stabili. </w:t>
      </w:r>
      <w:r w:rsidR="00492550" w:rsidRPr="00AF6863">
        <w:rPr>
          <w:b/>
          <w:bCs/>
          <w:sz w:val="24"/>
          <w:szCs w:val="24"/>
        </w:rPr>
        <w:t xml:space="preserve">In poche parole mentre chi sceglie, ad esempio, </w:t>
      </w:r>
      <w:r w:rsidR="00EF040A" w:rsidRPr="00AF6863">
        <w:rPr>
          <w:b/>
          <w:bCs/>
          <w:sz w:val="24"/>
          <w:szCs w:val="24"/>
        </w:rPr>
        <w:t xml:space="preserve">di volare </w:t>
      </w:r>
      <w:r w:rsidR="00492550" w:rsidRPr="00AF6863">
        <w:rPr>
          <w:b/>
          <w:bCs/>
          <w:sz w:val="24"/>
          <w:szCs w:val="24"/>
        </w:rPr>
        <w:t xml:space="preserve">Lufthansa sa che può raggiungere Washingtor in tutti i 12 mesi dell’anno, da noi </w:t>
      </w:r>
      <w:r w:rsidR="00EF040A" w:rsidRPr="00AF6863">
        <w:rPr>
          <w:b/>
          <w:bCs/>
          <w:sz w:val="24"/>
          <w:szCs w:val="24"/>
        </w:rPr>
        <w:t xml:space="preserve">la nuova “ITA” </w:t>
      </w:r>
      <w:r w:rsidR="00492550" w:rsidRPr="00AF6863">
        <w:rPr>
          <w:b/>
          <w:bCs/>
          <w:sz w:val="24"/>
          <w:szCs w:val="24"/>
        </w:rPr>
        <w:t xml:space="preserve"> inizia con la politica </w:t>
      </w:r>
      <w:r w:rsidR="00492550" w:rsidRPr="00AF6863">
        <w:rPr>
          <w:b/>
          <w:bCs/>
          <w:i/>
          <w:iCs/>
          <w:sz w:val="24"/>
          <w:szCs w:val="24"/>
        </w:rPr>
        <w:t>dell’oggi volo qui da domani volo li.</w:t>
      </w:r>
    </w:p>
    <w:p w14:paraId="7D7A20E2" w14:textId="2EBF1B45" w:rsidR="00EF040A" w:rsidRPr="00AF6863" w:rsidRDefault="00EF040A" w:rsidP="00825C71">
      <w:pPr>
        <w:spacing w:after="0"/>
        <w:rPr>
          <w:b/>
          <w:bCs/>
          <w:sz w:val="24"/>
          <w:szCs w:val="24"/>
          <w:u w:val="single"/>
        </w:rPr>
      </w:pPr>
      <w:r w:rsidRPr="00AF6863">
        <w:rPr>
          <w:b/>
          <w:bCs/>
          <w:sz w:val="24"/>
          <w:szCs w:val="24"/>
          <w:u w:val="single"/>
        </w:rPr>
        <w:t xml:space="preserve">Si continua cioè con </w:t>
      </w:r>
      <w:r w:rsidR="00AF6863" w:rsidRPr="00AF6863">
        <w:rPr>
          <w:b/>
          <w:bCs/>
          <w:sz w:val="24"/>
          <w:szCs w:val="24"/>
          <w:u w:val="single"/>
        </w:rPr>
        <w:t>l’</w:t>
      </w:r>
      <w:r w:rsidRPr="00AF6863">
        <w:rPr>
          <w:b/>
          <w:bCs/>
          <w:sz w:val="24"/>
          <w:szCs w:val="24"/>
          <w:u w:val="single"/>
        </w:rPr>
        <w:t xml:space="preserve">offrire all’utente l’incertezza del </w:t>
      </w:r>
      <w:r w:rsidRPr="00AF6863">
        <w:rPr>
          <w:b/>
          <w:bCs/>
          <w:i/>
          <w:iCs/>
          <w:sz w:val="24"/>
          <w:szCs w:val="24"/>
          <w:u w:val="single"/>
        </w:rPr>
        <w:t>dove</w:t>
      </w:r>
      <w:r w:rsidRPr="00AF6863">
        <w:rPr>
          <w:b/>
          <w:bCs/>
          <w:sz w:val="24"/>
          <w:szCs w:val="24"/>
          <w:u w:val="single"/>
        </w:rPr>
        <w:t xml:space="preserve"> si vola</w:t>
      </w:r>
      <w:r w:rsidR="00C37893" w:rsidRPr="00AF6863">
        <w:rPr>
          <w:b/>
          <w:bCs/>
          <w:sz w:val="24"/>
          <w:szCs w:val="24"/>
          <w:u w:val="single"/>
        </w:rPr>
        <w:t>: personalmente non crediamo nella bontà di una tale scelta.</w:t>
      </w:r>
    </w:p>
    <w:p w14:paraId="1C04E0A9" w14:textId="341F36D9" w:rsidR="00C37893" w:rsidRDefault="00F84014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Forse</w:t>
      </w:r>
      <w:r w:rsidR="00C37893">
        <w:rPr>
          <w:sz w:val="24"/>
          <w:szCs w:val="24"/>
        </w:rPr>
        <w:t xml:space="preserve"> se l’Alitalia continua ad essere il vettore numero uno in Italia sui settori domestici</w:t>
      </w:r>
      <w:r>
        <w:rPr>
          <w:sz w:val="24"/>
          <w:szCs w:val="24"/>
        </w:rPr>
        <w:t xml:space="preserve"> è perché su questo fronte l’utente sa che Alitalia non taglia e cuce con la stessa facilità con cui ha tagliato e cucito le destinazioni intercontinentali.</w:t>
      </w:r>
    </w:p>
    <w:p w14:paraId="17A47179" w14:textId="1AA1F89D" w:rsidR="00C37893" w:rsidRDefault="00C37893" w:rsidP="00825C71">
      <w:pPr>
        <w:spacing w:after="0"/>
        <w:rPr>
          <w:sz w:val="24"/>
          <w:szCs w:val="24"/>
        </w:rPr>
      </w:pPr>
    </w:p>
    <w:p w14:paraId="52CB67B7" w14:textId="748602C0" w:rsidR="00C37893" w:rsidRDefault="00C37893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Anno 2020 – passeggeri trasportati </w:t>
      </w:r>
      <w:r w:rsidRPr="00C37893">
        <w:rPr>
          <w:color w:val="FF0000"/>
          <w:sz w:val="18"/>
          <w:szCs w:val="18"/>
        </w:rPr>
        <w:t>(4)</w:t>
      </w:r>
      <w:r w:rsidRPr="00C3789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424740A" w14:textId="77777777" w:rsidR="00AF6863" w:rsidRDefault="00AF6863" w:rsidP="00825C71">
      <w:pPr>
        <w:spacing w:after="0"/>
        <w:rPr>
          <w:sz w:val="24"/>
          <w:szCs w:val="24"/>
        </w:rPr>
      </w:pPr>
    </w:p>
    <w:p w14:paraId="639C056D" w14:textId="24013FF7" w:rsidR="00C37893" w:rsidRPr="00AF6863" w:rsidRDefault="00C37893" w:rsidP="00825C71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6863">
        <w:rPr>
          <w:i/>
          <w:iCs/>
          <w:sz w:val="24"/>
          <w:szCs w:val="24"/>
        </w:rPr>
        <w:t>settori domestici</w:t>
      </w:r>
      <w:r w:rsidRPr="00AF6863">
        <w:rPr>
          <w:i/>
          <w:iCs/>
          <w:sz w:val="24"/>
          <w:szCs w:val="24"/>
        </w:rPr>
        <w:tab/>
        <w:t>settori internazionali</w:t>
      </w:r>
    </w:p>
    <w:p w14:paraId="3D7DE9AD" w14:textId="48F8BCBF" w:rsidR="00C37893" w:rsidRDefault="00C37893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Alitalia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4.389.000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2.126.000</w:t>
      </w:r>
    </w:p>
    <w:p w14:paraId="5A2CF576" w14:textId="022B1D4C" w:rsidR="00C37893" w:rsidRDefault="00C37893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Ryanair </w:t>
      </w:r>
      <w:r>
        <w:rPr>
          <w:sz w:val="24"/>
          <w:szCs w:val="24"/>
        </w:rPr>
        <w:tab/>
        <w:t xml:space="preserve">    4.081.000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7.756.000</w:t>
      </w:r>
    </w:p>
    <w:p w14:paraId="09FC1116" w14:textId="77777777" w:rsidR="00C37893" w:rsidRPr="00EF040A" w:rsidRDefault="00C37893" w:rsidP="00825C71">
      <w:pPr>
        <w:spacing w:after="0"/>
        <w:rPr>
          <w:sz w:val="24"/>
          <w:szCs w:val="24"/>
        </w:rPr>
      </w:pPr>
    </w:p>
    <w:p w14:paraId="72C5EEA2" w14:textId="77777777" w:rsidR="006606F9" w:rsidRDefault="006606F9" w:rsidP="00825C71">
      <w:pPr>
        <w:spacing w:after="0"/>
        <w:rPr>
          <w:sz w:val="24"/>
          <w:szCs w:val="24"/>
        </w:rPr>
      </w:pPr>
    </w:p>
    <w:p w14:paraId="362B1BA1" w14:textId="258C4FF6" w:rsidR="00D62C55" w:rsidRDefault="00F84014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Fatto questo che la ha condannat</w:t>
      </w:r>
      <w:r w:rsidR="00AF6863">
        <w:rPr>
          <w:sz w:val="24"/>
          <w:szCs w:val="24"/>
        </w:rPr>
        <w:t>a in questi ultimi anni</w:t>
      </w:r>
      <w:r>
        <w:rPr>
          <w:sz w:val="24"/>
          <w:szCs w:val="24"/>
        </w:rPr>
        <w:t xml:space="preserve"> ad un</w:t>
      </w:r>
      <w:r w:rsidR="00AF6863">
        <w:rPr>
          <w:sz w:val="24"/>
          <w:szCs w:val="24"/>
        </w:rPr>
        <w:t xml:space="preserve"> continuo</w:t>
      </w:r>
      <w:r>
        <w:rPr>
          <w:sz w:val="24"/>
          <w:szCs w:val="24"/>
        </w:rPr>
        <w:t xml:space="preserve"> saliscendi di risultati mai consolidatisi con una crescita costante</w:t>
      </w:r>
      <w:r w:rsidR="00AF6863">
        <w:rPr>
          <w:sz w:val="24"/>
          <w:szCs w:val="24"/>
        </w:rPr>
        <w:t>,</w:t>
      </w:r>
      <w:r>
        <w:rPr>
          <w:sz w:val="24"/>
          <w:szCs w:val="24"/>
        </w:rPr>
        <w:t xml:space="preserve"> così come avvenuto per tutti gli altri vettori</w:t>
      </w:r>
      <w:r w:rsidR="00AF6863">
        <w:rPr>
          <w:sz w:val="24"/>
          <w:szCs w:val="24"/>
        </w:rPr>
        <w:t>.</w:t>
      </w:r>
    </w:p>
    <w:p w14:paraId="0FCB159D" w14:textId="7D08D224" w:rsidR="00D62C55" w:rsidRDefault="00D62C55" w:rsidP="00825C71">
      <w:pPr>
        <w:spacing w:after="0"/>
        <w:rPr>
          <w:sz w:val="24"/>
          <w:szCs w:val="24"/>
        </w:rPr>
      </w:pPr>
    </w:p>
    <w:p w14:paraId="5FB16617" w14:textId="6374EB82" w:rsidR="00AF6863" w:rsidRPr="00AF6863" w:rsidRDefault="00AF6863" w:rsidP="00825C71">
      <w:pPr>
        <w:spacing w:after="0"/>
        <w:rPr>
          <w:i/>
          <w:iCs/>
          <w:sz w:val="24"/>
          <w:szCs w:val="24"/>
        </w:rPr>
      </w:pPr>
      <w:r w:rsidRPr="00AF6863">
        <w:rPr>
          <w:i/>
          <w:iCs/>
          <w:sz w:val="24"/>
          <w:szCs w:val="24"/>
        </w:rPr>
        <w:t>Numero passeggeri complessivi trasportati da Alitalia:</w:t>
      </w:r>
    </w:p>
    <w:p w14:paraId="5672B26D" w14:textId="12E46989" w:rsidR="00D62C55" w:rsidRDefault="00D62C55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2016</w:t>
      </w:r>
      <w:r w:rsidR="00A24C21">
        <w:rPr>
          <w:sz w:val="24"/>
          <w:szCs w:val="24"/>
        </w:rPr>
        <w:tab/>
      </w:r>
      <w:r w:rsidR="00A24C21">
        <w:rPr>
          <w:sz w:val="24"/>
          <w:szCs w:val="24"/>
        </w:rPr>
        <w:tab/>
        <w:t>23.106.000</w:t>
      </w:r>
    </w:p>
    <w:p w14:paraId="35AC2F6A" w14:textId="663C438C" w:rsidR="00D62C55" w:rsidRDefault="00D62C55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2017</w:t>
      </w:r>
      <w:r w:rsidR="00445745">
        <w:rPr>
          <w:sz w:val="24"/>
          <w:szCs w:val="24"/>
        </w:rPr>
        <w:tab/>
      </w:r>
      <w:r w:rsidR="00445745">
        <w:rPr>
          <w:sz w:val="24"/>
          <w:szCs w:val="24"/>
        </w:rPr>
        <w:tab/>
      </w:r>
      <w:r w:rsidR="00A24C21">
        <w:rPr>
          <w:sz w:val="24"/>
          <w:szCs w:val="24"/>
        </w:rPr>
        <w:t>21.765.000</w:t>
      </w:r>
    </w:p>
    <w:p w14:paraId="0788EA19" w14:textId="6B8AA9EE" w:rsidR="00D62C55" w:rsidRDefault="00D62C55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</w:t>
      </w:r>
      <w:r w:rsidR="00445745">
        <w:rPr>
          <w:sz w:val="24"/>
          <w:szCs w:val="24"/>
        </w:rPr>
        <w:tab/>
      </w:r>
      <w:r w:rsidR="00445745">
        <w:rPr>
          <w:sz w:val="24"/>
          <w:szCs w:val="24"/>
        </w:rPr>
        <w:tab/>
        <w:t>21.987.000</w:t>
      </w:r>
    </w:p>
    <w:p w14:paraId="1F8E3A32" w14:textId="177BD470" w:rsidR="00D62C55" w:rsidRDefault="00D62C55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</w:t>
      </w:r>
      <w:r w:rsidR="00445745">
        <w:rPr>
          <w:sz w:val="24"/>
          <w:szCs w:val="24"/>
        </w:rPr>
        <w:tab/>
      </w:r>
      <w:r w:rsidR="00445745">
        <w:rPr>
          <w:sz w:val="24"/>
          <w:szCs w:val="24"/>
        </w:rPr>
        <w:tab/>
        <w:t>21.770.000</w:t>
      </w:r>
    </w:p>
    <w:p w14:paraId="049189FC" w14:textId="451344DF" w:rsidR="00AF6863" w:rsidRDefault="00AF6863" w:rsidP="00825C71">
      <w:pPr>
        <w:spacing w:after="0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6.515.000</w:t>
      </w:r>
    </w:p>
    <w:p w14:paraId="04BC72A1" w14:textId="4C863679" w:rsidR="002133F5" w:rsidRDefault="002133F5" w:rsidP="00825C71">
      <w:pPr>
        <w:spacing w:after="0"/>
        <w:rPr>
          <w:sz w:val="24"/>
          <w:szCs w:val="24"/>
        </w:rPr>
      </w:pPr>
    </w:p>
    <w:p w14:paraId="53E48B56" w14:textId="01C231BF" w:rsidR="002133F5" w:rsidRDefault="002133F5" w:rsidP="00825C71">
      <w:pPr>
        <w:spacing w:after="0"/>
        <w:rPr>
          <w:sz w:val="24"/>
          <w:szCs w:val="24"/>
        </w:rPr>
      </w:pPr>
    </w:p>
    <w:p w14:paraId="11FB1527" w14:textId="17FE0872" w:rsidR="002133F5" w:rsidRPr="006A0AC6" w:rsidRDefault="006A0AC6" w:rsidP="00825C71">
      <w:pPr>
        <w:spacing w:after="0"/>
        <w:rPr>
          <w:b/>
          <w:bCs/>
          <w:i/>
          <w:iCs/>
          <w:color w:val="2E74B5" w:themeColor="accent5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AC6">
        <w:rPr>
          <w:b/>
          <w:bCs/>
          <w:i/>
          <w:iCs/>
          <w:color w:val="2E74B5" w:themeColor="accent5" w:themeShade="BF"/>
          <w:sz w:val="24"/>
          <w:szCs w:val="24"/>
        </w:rPr>
        <w:t>www.aviation-industry-news.com</w:t>
      </w:r>
    </w:p>
    <w:p w14:paraId="5814AB08" w14:textId="2BF22E38" w:rsidR="002133F5" w:rsidRDefault="002133F5" w:rsidP="00825C71">
      <w:pPr>
        <w:spacing w:after="0"/>
        <w:rPr>
          <w:sz w:val="24"/>
          <w:szCs w:val="24"/>
        </w:rPr>
      </w:pPr>
    </w:p>
    <w:p w14:paraId="04E3EBCB" w14:textId="36D98F3B" w:rsidR="002133F5" w:rsidRDefault="002133F5" w:rsidP="00825C71">
      <w:pPr>
        <w:spacing w:after="0"/>
        <w:rPr>
          <w:sz w:val="24"/>
          <w:szCs w:val="24"/>
        </w:rPr>
      </w:pPr>
    </w:p>
    <w:p w14:paraId="5358A505" w14:textId="7AFB572E" w:rsidR="002133F5" w:rsidRPr="006A0AC6" w:rsidRDefault="006A0AC6" w:rsidP="00825C71">
      <w:pPr>
        <w:spacing w:after="0"/>
        <w:rPr>
          <w:i/>
          <w:iCs/>
          <w:sz w:val="16"/>
          <w:szCs w:val="16"/>
        </w:rPr>
      </w:pPr>
      <w:r w:rsidRPr="006A0AC6">
        <w:rPr>
          <w:i/>
          <w:iCs/>
          <w:sz w:val="16"/>
          <w:szCs w:val="16"/>
        </w:rPr>
        <w:t>30 agosto 2021</w:t>
      </w:r>
    </w:p>
    <w:p w14:paraId="74AF58BD" w14:textId="05EC4300" w:rsidR="002133F5" w:rsidRDefault="002133F5" w:rsidP="00825C71">
      <w:pPr>
        <w:spacing w:after="0"/>
        <w:rPr>
          <w:sz w:val="24"/>
          <w:szCs w:val="24"/>
        </w:rPr>
      </w:pPr>
    </w:p>
    <w:p w14:paraId="53D2FFAF" w14:textId="3CA6702A" w:rsidR="002133F5" w:rsidRDefault="002133F5" w:rsidP="002133F5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Numero passeggeri domestici e internazionali. I numeri di Easyjet comprendono anche Easyjet Austria.</w:t>
      </w:r>
    </w:p>
    <w:p w14:paraId="5829D4D5" w14:textId="6154B6C6" w:rsidR="006606F9" w:rsidRDefault="006606F9" w:rsidP="002133F5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Tratto dal rapporto ENAC 2020, Tabella “Traffico internazionale 2020, Suddivisione per area geografica” pag.72</w:t>
      </w:r>
    </w:p>
    <w:p w14:paraId="09F4C3C4" w14:textId="63797256" w:rsidR="00A602A2" w:rsidRDefault="00A602A2" w:rsidP="002133F5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Tenere presente che queste cifre si riferiscono al 2020 ; Nella graduatoria delle 100 compagnie aeree che hanno operato in Italia, la Lufthansa è situata al sesto posto, la Air France al</w:t>
      </w:r>
      <w:r w:rsidR="00446D0D">
        <w:rPr>
          <w:sz w:val="20"/>
          <w:szCs w:val="20"/>
        </w:rPr>
        <w:t>l’ottavo, la British Airways al nono, la KLM all’undicesimo</w:t>
      </w:r>
      <w:r w:rsidR="005B4B89">
        <w:rPr>
          <w:sz w:val="20"/>
          <w:szCs w:val="20"/>
        </w:rPr>
        <w:t>, l’Iberia al 17simo</w:t>
      </w:r>
      <w:r w:rsidR="00446D0D">
        <w:rPr>
          <w:sz w:val="20"/>
          <w:szCs w:val="20"/>
        </w:rPr>
        <w:t xml:space="preserve">.  Tabella VET.1 pag. 83 </w:t>
      </w:r>
      <w:r>
        <w:rPr>
          <w:sz w:val="20"/>
          <w:szCs w:val="20"/>
        </w:rPr>
        <w:t xml:space="preserve"> </w:t>
      </w:r>
    </w:p>
    <w:p w14:paraId="6B3FF9D0" w14:textId="568F984A" w:rsidR="00C37893" w:rsidRPr="002133F5" w:rsidRDefault="00C37893" w:rsidP="002133F5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Tabella VET 3, pag.86</w:t>
      </w:r>
    </w:p>
    <w:p w14:paraId="787E3F3C" w14:textId="4FBA6CE0" w:rsidR="00212C17" w:rsidRPr="00212C17" w:rsidRDefault="00212C17" w:rsidP="00212C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212C17" w:rsidRPr="00212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0BDD"/>
    <w:multiLevelType w:val="hybridMultilevel"/>
    <w:tmpl w:val="066CB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12A9"/>
    <w:multiLevelType w:val="hybridMultilevel"/>
    <w:tmpl w:val="0AC0B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96CC3"/>
    <w:multiLevelType w:val="hybridMultilevel"/>
    <w:tmpl w:val="7CA41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E8"/>
    <w:rsid w:val="00165251"/>
    <w:rsid w:val="00181376"/>
    <w:rsid w:val="001D3E50"/>
    <w:rsid w:val="00212C17"/>
    <w:rsid w:val="002133F5"/>
    <w:rsid w:val="003057E5"/>
    <w:rsid w:val="00370095"/>
    <w:rsid w:val="003E318B"/>
    <w:rsid w:val="003F7C96"/>
    <w:rsid w:val="00445745"/>
    <w:rsid w:val="00446D0D"/>
    <w:rsid w:val="00456597"/>
    <w:rsid w:val="0046653E"/>
    <w:rsid w:val="00473B56"/>
    <w:rsid w:val="00492550"/>
    <w:rsid w:val="005B075D"/>
    <w:rsid w:val="005B4B89"/>
    <w:rsid w:val="005F677A"/>
    <w:rsid w:val="0063261F"/>
    <w:rsid w:val="006606F9"/>
    <w:rsid w:val="006A0AC6"/>
    <w:rsid w:val="00743A0A"/>
    <w:rsid w:val="00825C71"/>
    <w:rsid w:val="00826CDD"/>
    <w:rsid w:val="0089537D"/>
    <w:rsid w:val="009058F0"/>
    <w:rsid w:val="009932E8"/>
    <w:rsid w:val="00A24C21"/>
    <w:rsid w:val="00A602A2"/>
    <w:rsid w:val="00AF6863"/>
    <w:rsid w:val="00B465CA"/>
    <w:rsid w:val="00C37893"/>
    <w:rsid w:val="00C40113"/>
    <w:rsid w:val="00D314A7"/>
    <w:rsid w:val="00D62C55"/>
    <w:rsid w:val="00DD4ECB"/>
    <w:rsid w:val="00EF040A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E30D"/>
  <w15:chartTrackingRefBased/>
  <w15:docId w15:val="{37E336C7-6ABB-4C34-ABB3-48506D8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30</cp:revision>
  <dcterms:created xsi:type="dcterms:W3CDTF">2021-08-29T17:21:00Z</dcterms:created>
  <dcterms:modified xsi:type="dcterms:W3CDTF">2021-08-30T07:23:00Z</dcterms:modified>
</cp:coreProperties>
</file>