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13840" w14:textId="77777777" w:rsidR="0084082F" w:rsidRPr="00055140" w:rsidRDefault="00055140" w:rsidP="00055140">
      <w:pPr>
        <w:rPr>
          <w:b/>
          <w:i/>
          <w:color w:val="0070C0"/>
          <w:sz w:val="20"/>
          <w:szCs w:val="20"/>
        </w:rPr>
      </w:pPr>
      <w:r w:rsidRPr="00055140">
        <w:rPr>
          <w:b/>
          <w:i/>
          <w:color w:val="0070C0"/>
          <w:sz w:val="20"/>
          <w:szCs w:val="20"/>
        </w:rPr>
        <w:t>Aviation-Industry-News</w:t>
      </w:r>
    </w:p>
    <w:p w14:paraId="3897D694" w14:textId="4FA91B7D" w:rsidR="00902F25" w:rsidRPr="0084082F" w:rsidRDefault="00902F25" w:rsidP="0084082F">
      <w:pPr>
        <w:ind w:left="1416" w:firstLine="708"/>
        <w:rPr>
          <w:b/>
          <w:color w:val="0070C0"/>
          <w:sz w:val="28"/>
          <w:szCs w:val="28"/>
        </w:rPr>
      </w:pPr>
      <w:r w:rsidRPr="0084082F">
        <w:rPr>
          <w:b/>
          <w:color w:val="0070C0"/>
          <w:sz w:val="28"/>
          <w:szCs w:val="28"/>
        </w:rPr>
        <w:t xml:space="preserve">ITA AIRWAYS </w:t>
      </w:r>
      <w:proofErr w:type="gramStart"/>
      <w:r w:rsidRPr="0084082F">
        <w:rPr>
          <w:b/>
          <w:color w:val="0070C0"/>
          <w:sz w:val="28"/>
          <w:szCs w:val="28"/>
        </w:rPr>
        <w:t xml:space="preserve">E </w:t>
      </w:r>
      <w:r w:rsidR="001128D4">
        <w:rPr>
          <w:b/>
          <w:color w:val="0070C0"/>
          <w:sz w:val="28"/>
          <w:szCs w:val="28"/>
        </w:rPr>
        <w:t xml:space="preserve"> LA</w:t>
      </w:r>
      <w:proofErr w:type="gramEnd"/>
      <w:r w:rsidR="001128D4">
        <w:rPr>
          <w:b/>
          <w:color w:val="0070C0"/>
          <w:sz w:val="28"/>
          <w:szCs w:val="28"/>
        </w:rPr>
        <w:t xml:space="preserve"> </w:t>
      </w:r>
      <w:r w:rsidRPr="0084082F">
        <w:rPr>
          <w:b/>
          <w:color w:val="0070C0"/>
          <w:sz w:val="28"/>
          <w:szCs w:val="28"/>
        </w:rPr>
        <w:t>NEBBIA A LINATE</w:t>
      </w:r>
    </w:p>
    <w:p w14:paraId="340FB1C0" w14:textId="77777777" w:rsidR="00902F25" w:rsidRPr="0084082F" w:rsidRDefault="00902F25" w:rsidP="00902F25">
      <w:pPr>
        <w:rPr>
          <w:sz w:val="24"/>
          <w:szCs w:val="24"/>
        </w:rPr>
      </w:pPr>
      <w:r w:rsidRPr="0084082F">
        <w:rPr>
          <w:sz w:val="24"/>
          <w:szCs w:val="24"/>
        </w:rPr>
        <w:t>A pochi giorni dall’avvio delle operazioni</w:t>
      </w:r>
      <w:r w:rsidR="0088578A" w:rsidRPr="0084082F">
        <w:rPr>
          <w:sz w:val="24"/>
          <w:szCs w:val="24"/>
        </w:rPr>
        <w:t>,</w:t>
      </w:r>
      <w:r w:rsidRPr="0084082F">
        <w:rPr>
          <w:sz w:val="24"/>
          <w:szCs w:val="24"/>
        </w:rPr>
        <w:t xml:space="preserve"> una giornata di “ordinaria” nebbia su Milano ha messo in evidenza quanto sensibile</w:t>
      </w:r>
      <w:r w:rsidR="0024713A" w:rsidRPr="0084082F">
        <w:rPr>
          <w:sz w:val="24"/>
          <w:szCs w:val="24"/>
        </w:rPr>
        <w:t>,</w:t>
      </w:r>
      <w:r w:rsidRPr="0084082F">
        <w:rPr>
          <w:sz w:val="24"/>
          <w:szCs w:val="24"/>
        </w:rPr>
        <w:t xml:space="preserve"> e allo stesso tempo rigoroso</w:t>
      </w:r>
      <w:r w:rsidR="0024713A" w:rsidRPr="0084082F">
        <w:rPr>
          <w:sz w:val="24"/>
          <w:szCs w:val="24"/>
        </w:rPr>
        <w:t>,</w:t>
      </w:r>
      <w:r w:rsidRPr="0084082F">
        <w:rPr>
          <w:sz w:val="24"/>
          <w:szCs w:val="24"/>
        </w:rPr>
        <w:t xml:space="preserve"> sia il sistema normativo che regola l’aviazione civile.</w:t>
      </w:r>
    </w:p>
    <w:p w14:paraId="5922DF40" w14:textId="77777777" w:rsidR="00902F25" w:rsidRPr="0084082F" w:rsidRDefault="00902F25" w:rsidP="00902F25">
      <w:pPr>
        <w:rPr>
          <w:sz w:val="24"/>
          <w:szCs w:val="24"/>
        </w:rPr>
      </w:pPr>
      <w:r w:rsidRPr="0084082F">
        <w:rPr>
          <w:sz w:val="24"/>
          <w:szCs w:val="24"/>
        </w:rPr>
        <w:t>La nebbia a Milano non costituisce affatto un evento e</w:t>
      </w:r>
      <w:r w:rsidR="0088578A" w:rsidRPr="0084082F">
        <w:rPr>
          <w:sz w:val="24"/>
          <w:szCs w:val="24"/>
        </w:rPr>
        <w:t>ccezionale, ed è per questo che Malpensa e Linate, e non solo loro per la verità, sono aeroporti con piste dotate di sistemi di avvicinamento strumentale (ILS) che permettono le operazioni anche in presenza di scarsa visibilità.</w:t>
      </w:r>
    </w:p>
    <w:p w14:paraId="29DB858D" w14:textId="77777777" w:rsidR="0088578A" w:rsidRPr="0084082F" w:rsidRDefault="0088578A" w:rsidP="00902F25">
      <w:pPr>
        <w:rPr>
          <w:sz w:val="24"/>
          <w:szCs w:val="24"/>
        </w:rPr>
      </w:pPr>
      <w:r w:rsidRPr="0084082F">
        <w:rPr>
          <w:sz w:val="24"/>
          <w:szCs w:val="24"/>
        </w:rPr>
        <w:t>In particolare su Linate la pista 36B (atterraggio da sud a nord) è dotata d</w:t>
      </w:r>
      <w:r w:rsidR="009F6E5A">
        <w:rPr>
          <w:sz w:val="24"/>
          <w:szCs w:val="24"/>
        </w:rPr>
        <w:t>i un avanzato</w:t>
      </w:r>
      <w:r w:rsidRPr="0084082F">
        <w:rPr>
          <w:sz w:val="24"/>
          <w:szCs w:val="24"/>
        </w:rPr>
        <w:t xml:space="preserve"> sistema</w:t>
      </w:r>
      <w:r w:rsidR="0024713A" w:rsidRPr="0084082F">
        <w:rPr>
          <w:sz w:val="24"/>
          <w:szCs w:val="24"/>
        </w:rPr>
        <w:t xml:space="preserve"> </w:t>
      </w:r>
      <w:r w:rsidR="009F6E5A">
        <w:rPr>
          <w:sz w:val="24"/>
          <w:szCs w:val="24"/>
        </w:rPr>
        <w:t>di atterraggio strumentale “</w:t>
      </w:r>
      <w:r w:rsidR="0024713A" w:rsidRPr="0084082F">
        <w:rPr>
          <w:sz w:val="24"/>
          <w:szCs w:val="24"/>
        </w:rPr>
        <w:t>Categoria</w:t>
      </w:r>
      <w:r w:rsidRPr="0084082F">
        <w:rPr>
          <w:sz w:val="24"/>
          <w:szCs w:val="24"/>
        </w:rPr>
        <w:t xml:space="preserve"> IIIB”. Quali operazioni permetta il IIIB è presto detto osservando la sottostante tabella.</w:t>
      </w:r>
    </w:p>
    <w:p w14:paraId="659F29E4" w14:textId="77777777" w:rsidR="0088578A" w:rsidRPr="0084082F" w:rsidRDefault="0024713A" w:rsidP="0026380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4082F">
        <w:rPr>
          <w:rFonts w:cstheme="minorHAnsi"/>
          <w:sz w:val="24"/>
          <w:szCs w:val="24"/>
        </w:rPr>
        <w:t>●</w:t>
      </w:r>
      <w:r w:rsidR="0088578A" w:rsidRPr="0084082F">
        <w:rPr>
          <w:rFonts w:cstheme="minorHAnsi"/>
          <w:sz w:val="24"/>
          <w:szCs w:val="24"/>
        </w:rPr>
        <w:t xml:space="preserve">Operazioni di </w:t>
      </w:r>
      <w:r w:rsidR="0088578A" w:rsidRPr="0084082F">
        <w:rPr>
          <w:rFonts w:cstheme="minorHAnsi"/>
          <w:b/>
          <w:sz w:val="24"/>
          <w:szCs w:val="24"/>
        </w:rPr>
        <w:t xml:space="preserve">CAT.I </w:t>
      </w:r>
      <w:r w:rsidR="0088578A" w:rsidRPr="0084082F">
        <w:rPr>
          <w:rFonts w:cstheme="minorHAnsi"/>
          <w:sz w:val="24"/>
          <w:szCs w:val="24"/>
        </w:rPr>
        <w:t>avvicinamento strumentale di precisione ed atterraggio con:</w:t>
      </w:r>
    </w:p>
    <w:p w14:paraId="26170E75" w14:textId="77777777" w:rsidR="0088578A" w:rsidRPr="0084082F" w:rsidRDefault="0088578A" w:rsidP="0026380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84082F">
        <w:rPr>
          <w:rFonts w:cstheme="minorHAnsi"/>
          <w:sz w:val="24"/>
          <w:szCs w:val="24"/>
        </w:rPr>
        <w:t>·  D.H.</w:t>
      </w:r>
      <w:proofErr w:type="gramEnd"/>
      <w:r w:rsidRPr="0084082F">
        <w:rPr>
          <w:rFonts w:cstheme="minorHAnsi"/>
          <w:sz w:val="24"/>
          <w:szCs w:val="24"/>
        </w:rPr>
        <w:t xml:space="preserve"> non inferiore a 60 mt (200ft);</w:t>
      </w:r>
    </w:p>
    <w:p w14:paraId="5D92774B" w14:textId="77777777" w:rsidR="0088578A" w:rsidRPr="0084082F" w:rsidRDefault="0088578A" w:rsidP="0026380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84082F">
        <w:rPr>
          <w:rFonts w:cstheme="minorHAnsi"/>
          <w:sz w:val="24"/>
          <w:szCs w:val="24"/>
        </w:rPr>
        <w:t>·  Visibilità</w:t>
      </w:r>
      <w:proofErr w:type="gramEnd"/>
      <w:r w:rsidRPr="0084082F">
        <w:rPr>
          <w:rFonts w:cstheme="minorHAnsi"/>
          <w:sz w:val="24"/>
          <w:szCs w:val="24"/>
        </w:rPr>
        <w:t xml:space="preserve"> generale non inferiore a 800mt o RVR non inferiore a 550mt.</w:t>
      </w:r>
    </w:p>
    <w:p w14:paraId="56F75B73" w14:textId="77777777" w:rsidR="0088578A" w:rsidRPr="0084082F" w:rsidRDefault="0024713A" w:rsidP="0026380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4082F">
        <w:rPr>
          <w:rFonts w:cstheme="minorHAnsi"/>
          <w:sz w:val="24"/>
          <w:szCs w:val="24"/>
        </w:rPr>
        <w:t>●</w:t>
      </w:r>
      <w:r w:rsidR="0088578A" w:rsidRPr="0084082F">
        <w:rPr>
          <w:rFonts w:cstheme="minorHAnsi"/>
          <w:sz w:val="24"/>
          <w:szCs w:val="24"/>
        </w:rPr>
        <w:t xml:space="preserve">Operazioni di </w:t>
      </w:r>
      <w:r w:rsidR="0088578A" w:rsidRPr="0084082F">
        <w:rPr>
          <w:rFonts w:cstheme="minorHAnsi"/>
          <w:b/>
          <w:sz w:val="24"/>
          <w:szCs w:val="24"/>
        </w:rPr>
        <w:t>CAT.II:</w:t>
      </w:r>
      <w:r w:rsidR="0088578A" w:rsidRPr="0084082F">
        <w:rPr>
          <w:rFonts w:cstheme="minorHAnsi"/>
          <w:sz w:val="24"/>
          <w:szCs w:val="24"/>
        </w:rPr>
        <w:t xml:space="preserve"> avvicinamento strumentale di precisione e atterraggio con</w:t>
      </w:r>
    </w:p>
    <w:p w14:paraId="6A7C377F" w14:textId="77777777" w:rsidR="0088578A" w:rsidRPr="0084082F" w:rsidRDefault="0088578A" w:rsidP="0026380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4082F">
        <w:rPr>
          <w:rFonts w:cstheme="minorHAnsi"/>
          <w:sz w:val="24"/>
          <w:szCs w:val="24"/>
        </w:rPr>
        <w:t xml:space="preserve"> DH più bassa di 60mt (200ft), ma non inferiore a 30mt (100ft) ed una RVR non inferiore a</w:t>
      </w:r>
    </w:p>
    <w:p w14:paraId="3A69F27B" w14:textId="77777777" w:rsidR="0088578A" w:rsidRPr="0084082F" w:rsidRDefault="0088578A" w:rsidP="0026380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4082F">
        <w:rPr>
          <w:rFonts w:cstheme="minorHAnsi"/>
          <w:sz w:val="24"/>
          <w:szCs w:val="24"/>
        </w:rPr>
        <w:t>300mt.</w:t>
      </w:r>
    </w:p>
    <w:p w14:paraId="0D882F61" w14:textId="77777777" w:rsidR="0088578A" w:rsidRPr="0084082F" w:rsidRDefault="0088578A" w:rsidP="0026380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4082F">
        <w:rPr>
          <w:rFonts w:cstheme="minorHAnsi"/>
          <w:sz w:val="24"/>
          <w:szCs w:val="24"/>
        </w:rPr>
        <w:t xml:space="preserve"> </w:t>
      </w:r>
      <w:r w:rsidR="0024713A" w:rsidRPr="0084082F">
        <w:rPr>
          <w:rFonts w:cstheme="minorHAnsi"/>
          <w:sz w:val="24"/>
          <w:szCs w:val="24"/>
        </w:rPr>
        <w:t>●</w:t>
      </w:r>
      <w:r w:rsidRPr="0084082F">
        <w:rPr>
          <w:rFonts w:cstheme="minorHAnsi"/>
          <w:sz w:val="24"/>
          <w:szCs w:val="24"/>
        </w:rPr>
        <w:t xml:space="preserve">Operazioni di </w:t>
      </w:r>
      <w:r w:rsidRPr="0084082F">
        <w:rPr>
          <w:rFonts w:cstheme="minorHAnsi"/>
          <w:b/>
          <w:sz w:val="24"/>
          <w:szCs w:val="24"/>
        </w:rPr>
        <w:t>CAT.IIIA</w:t>
      </w:r>
      <w:r w:rsidRPr="0084082F">
        <w:rPr>
          <w:rFonts w:cstheme="minorHAnsi"/>
          <w:sz w:val="24"/>
          <w:szCs w:val="24"/>
        </w:rPr>
        <w:t>: avvicinamento strumentale di precisione ed atterraggio con</w:t>
      </w:r>
    </w:p>
    <w:p w14:paraId="3C8E55C9" w14:textId="77777777" w:rsidR="0088578A" w:rsidRPr="0084082F" w:rsidRDefault="0088578A" w:rsidP="0026380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84082F">
        <w:rPr>
          <w:rFonts w:cstheme="minorHAnsi"/>
          <w:sz w:val="24"/>
          <w:szCs w:val="24"/>
        </w:rPr>
        <w:t>·  una</w:t>
      </w:r>
      <w:proofErr w:type="gramEnd"/>
      <w:r w:rsidRPr="0084082F">
        <w:rPr>
          <w:rFonts w:cstheme="minorHAnsi"/>
          <w:sz w:val="24"/>
          <w:szCs w:val="24"/>
        </w:rPr>
        <w:t xml:space="preserve"> DH più bassa di 30mt (100 ft)</w:t>
      </w:r>
    </w:p>
    <w:p w14:paraId="3B7DC6AD" w14:textId="77777777" w:rsidR="0088578A" w:rsidRPr="0084082F" w:rsidRDefault="0088578A" w:rsidP="0026380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84082F">
        <w:rPr>
          <w:rFonts w:cstheme="minorHAnsi"/>
          <w:sz w:val="24"/>
          <w:szCs w:val="24"/>
        </w:rPr>
        <w:t>·  RVR</w:t>
      </w:r>
      <w:proofErr w:type="gramEnd"/>
      <w:r w:rsidRPr="0084082F">
        <w:rPr>
          <w:rFonts w:cstheme="minorHAnsi"/>
          <w:sz w:val="24"/>
          <w:szCs w:val="24"/>
        </w:rPr>
        <w:t xml:space="preserve"> non inferiore a 200mt.</w:t>
      </w:r>
    </w:p>
    <w:p w14:paraId="633BBFB3" w14:textId="77777777" w:rsidR="0088578A" w:rsidRPr="0084082F" w:rsidRDefault="0024713A" w:rsidP="0026380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4082F">
        <w:rPr>
          <w:rFonts w:cstheme="minorHAnsi"/>
          <w:sz w:val="24"/>
          <w:szCs w:val="24"/>
        </w:rPr>
        <w:t>●</w:t>
      </w:r>
      <w:r w:rsidR="0088578A" w:rsidRPr="0084082F">
        <w:rPr>
          <w:rFonts w:cstheme="minorHAnsi"/>
          <w:sz w:val="24"/>
          <w:szCs w:val="24"/>
        </w:rPr>
        <w:t xml:space="preserve"> Operazioni di </w:t>
      </w:r>
      <w:r w:rsidR="0088578A" w:rsidRPr="0084082F">
        <w:rPr>
          <w:rFonts w:cstheme="minorHAnsi"/>
          <w:b/>
          <w:sz w:val="24"/>
          <w:szCs w:val="24"/>
        </w:rPr>
        <w:t>CAT.IIIB</w:t>
      </w:r>
      <w:r w:rsidR="0088578A" w:rsidRPr="0084082F">
        <w:rPr>
          <w:rFonts w:cstheme="minorHAnsi"/>
          <w:sz w:val="24"/>
          <w:szCs w:val="24"/>
        </w:rPr>
        <w:t>: avvicinamento strumentale di precisione ed atterraggio con:</w:t>
      </w:r>
    </w:p>
    <w:p w14:paraId="0636229A" w14:textId="77777777" w:rsidR="0088578A" w:rsidRPr="0084082F" w:rsidRDefault="0088578A" w:rsidP="0026380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84082F">
        <w:rPr>
          <w:rFonts w:cstheme="minorHAnsi"/>
          <w:sz w:val="24"/>
          <w:szCs w:val="24"/>
        </w:rPr>
        <w:t>·  una</w:t>
      </w:r>
      <w:proofErr w:type="gramEnd"/>
      <w:r w:rsidRPr="0084082F">
        <w:rPr>
          <w:rFonts w:cstheme="minorHAnsi"/>
          <w:sz w:val="24"/>
          <w:szCs w:val="24"/>
        </w:rPr>
        <w:t xml:space="preserve"> DH più bassa di 15mt (50 ft) o</w:t>
      </w:r>
    </w:p>
    <w:p w14:paraId="65DA28FD" w14:textId="77777777" w:rsidR="0088578A" w:rsidRPr="0084082F" w:rsidRDefault="0088578A" w:rsidP="0026380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84082F">
        <w:rPr>
          <w:rFonts w:cstheme="minorHAnsi"/>
          <w:sz w:val="24"/>
          <w:szCs w:val="24"/>
        </w:rPr>
        <w:t>·  senza</w:t>
      </w:r>
      <w:proofErr w:type="gramEnd"/>
      <w:r w:rsidRPr="0084082F">
        <w:rPr>
          <w:rFonts w:cstheme="minorHAnsi"/>
          <w:sz w:val="24"/>
          <w:szCs w:val="24"/>
        </w:rPr>
        <w:t xml:space="preserve"> DH;</w:t>
      </w:r>
    </w:p>
    <w:p w14:paraId="7D6350D7" w14:textId="77777777" w:rsidR="0088578A" w:rsidRPr="0084082F" w:rsidRDefault="0088578A" w:rsidP="0026380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4082F">
        <w:rPr>
          <w:rFonts w:cstheme="minorHAnsi"/>
          <w:sz w:val="24"/>
          <w:szCs w:val="24"/>
        </w:rPr>
        <w:t>entrambe con una RVR inferiore a 200mt., ma non al di sotto di 75mt.</w:t>
      </w:r>
    </w:p>
    <w:p w14:paraId="66214DA0" w14:textId="77777777" w:rsidR="0088578A" w:rsidRPr="0084082F" w:rsidRDefault="0024713A" w:rsidP="0026380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4082F">
        <w:rPr>
          <w:rFonts w:cstheme="minorHAnsi"/>
          <w:sz w:val="24"/>
          <w:szCs w:val="24"/>
        </w:rPr>
        <w:t>●</w:t>
      </w:r>
      <w:r w:rsidR="0088578A" w:rsidRPr="0084082F">
        <w:rPr>
          <w:rFonts w:cstheme="minorHAnsi"/>
          <w:sz w:val="24"/>
          <w:szCs w:val="24"/>
        </w:rPr>
        <w:t xml:space="preserve"> Operazioni di </w:t>
      </w:r>
      <w:r w:rsidR="0088578A" w:rsidRPr="0084082F">
        <w:rPr>
          <w:rFonts w:cstheme="minorHAnsi"/>
          <w:b/>
          <w:sz w:val="24"/>
          <w:szCs w:val="24"/>
        </w:rPr>
        <w:t>CAT.IIIC:</w:t>
      </w:r>
      <w:r w:rsidR="0088578A" w:rsidRPr="0084082F">
        <w:rPr>
          <w:rFonts w:cstheme="minorHAnsi"/>
          <w:sz w:val="24"/>
          <w:szCs w:val="24"/>
        </w:rPr>
        <w:t xml:space="preserve"> avvicinamento strumentale di precisione ed atterraggio senza DH</w:t>
      </w:r>
    </w:p>
    <w:p w14:paraId="26ABE757" w14:textId="77777777" w:rsidR="0088578A" w:rsidRPr="0084082F" w:rsidRDefault="0088578A" w:rsidP="0026380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theme="minorHAnsi"/>
          <w:sz w:val="24"/>
          <w:szCs w:val="24"/>
        </w:rPr>
      </w:pPr>
      <w:r w:rsidRPr="0084082F">
        <w:rPr>
          <w:rFonts w:cstheme="minorHAnsi"/>
          <w:sz w:val="24"/>
          <w:szCs w:val="24"/>
        </w:rPr>
        <w:t>né limitazioni di RVR.</w:t>
      </w:r>
    </w:p>
    <w:p w14:paraId="2BD6C3E2" w14:textId="77777777" w:rsidR="0088578A" w:rsidRPr="0084082F" w:rsidRDefault="0088578A" w:rsidP="0088578A">
      <w:pPr>
        <w:rPr>
          <w:rFonts w:cstheme="minorHAnsi"/>
          <w:sz w:val="24"/>
          <w:szCs w:val="24"/>
        </w:rPr>
      </w:pPr>
      <w:r w:rsidRPr="0084082F">
        <w:rPr>
          <w:rFonts w:cstheme="minorHAnsi"/>
          <w:sz w:val="24"/>
          <w:szCs w:val="24"/>
        </w:rPr>
        <w:t>In questa tabella,</w:t>
      </w:r>
      <w:r w:rsidR="0024713A" w:rsidRPr="0084082F">
        <w:rPr>
          <w:rFonts w:cstheme="minorHAnsi"/>
          <w:sz w:val="24"/>
          <w:szCs w:val="24"/>
        </w:rPr>
        <w:t xml:space="preserve"> tralasciando per semplicità il DH, Decision Height, </w:t>
      </w:r>
      <w:r w:rsidR="0024713A" w:rsidRPr="0084082F">
        <w:rPr>
          <w:rFonts w:cstheme="minorHAnsi"/>
          <w:color w:val="FF0000"/>
          <w:sz w:val="18"/>
          <w:szCs w:val="18"/>
        </w:rPr>
        <w:t>(1)</w:t>
      </w:r>
      <w:r w:rsidRPr="0084082F">
        <w:rPr>
          <w:rFonts w:cstheme="minorHAnsi"/>
          <w:sz w:val="24"/>
          <w:szCs w:val="24"/>
        </w:rPr>
        <w:t xml:space="preserve"> </w:t>
      </w:r>
      <w:r w:rsidR="009F6E5A">
        <w:rPr>
          <w:rFonts w:cstheme="minorHAnsi"/>
          <w:sz w:val="24"/>
          <w:szCs w:val="24"/>
        </w:rPr>
        <w:t>e</w:t>
      </w:r>
      <w:r w:rsidRPr="0084082F">
        <w:rPr>
          <w:rFonts w:cstheme="minorHAnsi"/>
          <w:sz w:val="24"/>
          <w:szCs w:val="24"/>
        </w:rPr>
        <w:t xml:space="preserve"> </w:t>
      </w:r>
      <w:r w:rsidR="0024713A" w:rsidRPr="0084082F">
        <w:rPr>
          <w:rFonts w:cstheme="minorHAnsi"/>
          <w:sz w:val="24"/>
          <w:szCs w:val="24"/>
        </w:rPr>
        <w:t>consider</w:t>
      </w:r>
      <w:r w:rsidR="009F6E5A">
        <w:rPr>
          <w:rFonts w:cstheme="minorHAnsi"/>
          <w:sz w:val="24"/>
          <w:szCs w:val="24"/>
        </w:rPr>
        <w:t>ando</w:t>
      </w:r>
      <w:r w:rsidR="0024713A" w:rsidRPr="0084082F">
        <w:rPr>
          <w:rFonts w:cstheme="minorHAnsi"/>
          <w:sz w:val="24"/>
          <w:szCs w:val="24"/>
        </w:rPr>
        <w:t xml:space="preserve"> invece</w:t>
      </w:r>
      <w:r w:rsidRPr="0084082F">
        <w:rPr>
          <w:rFonts w:cstheme="minorHAnsi"/>
          <w:sz w:val="24"/>
          <w:szCs w:val="24"/>
        </w:rPr>
        <w:t xml:space="preserve"> il</w:t>
      </w:r>
      <w:r w:rsidR="0024713A" w:rsidRPr="0084082F">
        <w:rPr>
          <w:rFonts w:cstheme="minorHAnsi"/>
          <w:sz w:val="24"/>
          <w:szCs w:val="24"/>
        </w:rPr>
        <w:t xml:space="preserve"> </w:t>
      </w:r>
      <w:r w:rsidR="009F6E5A">
        <w:rPr>
          <w:rFonts w:cstheme="minorHAnsi"/>
          <w:sz w:val="24"/>
          <w:szCs w:val="24"/>
        </w:rPr>
        <w:t xml:space="preserve">solo </w:t>
      </w:r>
      <w:r w:rsidR="0024713A" w:rsidRPr="0084082F">
        <w:rPr>
          <w:rFonts w:cstheme="minorHAnsi"/>
          <w:sz w:val="24"/>
          <w:szCs w:val="24"/>
        </w:rPr>
        <w:t>concetto di</w:t>
      </w:r>
      <w:r w:rsidRPr="0084082F">
        <w:rPr>
          <w:rFonts w:cstheme="minorHAnsi"/>
          <w:sz w:val="24"/>
          <w:szCs w:val="24"/>
        </w:rPr>
        <w:t xml:space="preserve"> Runway Visual Range (RVR)</w:t>
      </w:r>
      <w:r w:rsidR="0024713A" w:rsidRPr="0084082F">
        <w:rPr>
          <w:rFonts w:cstheme="minorHAnsi"/>
          <w:sz w:val="24"/>
          <w:szCs w:val="24"/>
        </w:rPr>
        <w:t xml:space="preserve"> ovvero raggio visivo presente sulla pista di atterraggio</w:t>
      </w:r>
      <w:r w:rsidR="009F6E5A">
        <w:rPr>
          <w:rFonts w:cstheme="minorHAnsi"/>
          <w:sz w:val="24"/>
          <w:szCs w:val="24"/>
        </w:rPr>
        <w:t>, abbiamo la seguente situazione</w:t>
      </w:r>
      <w:r w:rsidRPr="0084082F">
        <w:rPr>
          <w:rFonts w:cstheme="minorHAnsi"/>
          <w:sz w:val="24"/>
          <w:szCs w:val="24"/>
        </w:rPr>
        <w:t>:</w:t>
      </w:r>
    </w:p>
    <w:p w14:paraId="69256F52" w14:textId="77777777" w:rsidR="0088578A" w:rsidRPr="0084082F" w:rsidRDefault="009F6E5A" w:rsidP="0088578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88578A" w:rsidRPr="0084082F">
        <w:rPr>
          <w:rFonts w:cstheme="minorHAnsi"/>
          <w:sz w:val="24"/>
          <w:szCs w:val="24"/>
        </w:rPr>
        <w:t xml:space="preserve">Con un ILS di CAT I </w:t>
      </w:r>
      <w:r w:rsidR="0024713A" w:rsidRPr="0084082F">
        <w:rPr>
          <w:rFonts w:cstheme="minorHAnsi"/>
          <w:sz w:val="24"/>
          <w:szCs w:val="24"/>
        </w:rPr>
        <w:t xml:space="preserve">il RVR </w:t>
      </w:r>
      <w:r w:rsidR="0088578A" w:rsidRPr="0084082F">
        <w:rPr>
          <w:rFonts w:cstheme="minorHAnsi"/>
          <w:sz w:val="24"/>
          <w:szCs w:val="24"/>
        </w:rPr>
        <w:t>non deve essere inferiore a 550 metri;</w:t>
      </w:r>
    </w:p>
    <w:p w14:paraId="5C2C7BCC" w14:textId="77777777" w:rsidR="0088578A" w:rsidRPr="0084082F" w:rsidRDefault="009F6E5A" w:rsidP="0088578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88578A" w:rsidRPr="0084082F">
        <w:rPr>
          <w:rFonts w:cstheme="minorHAnsi"/>
          <w:sz w:val="24"/>
          <w:szCs w:val="24"/>
        </w:rPr>
        <w:t>Con un ILS di CAT II non deve essere inferiore a 300 metri;</w:t>
      </w:r>
    </w:p>
    <w:p w14:paraId="3196273D" w14:textId="77777777" w:rsidR="0088578A" w:rsidRPr="0084082F" w:rsidRDefault="009F6E5A" w:rsidP="0088578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88578A" w:rsidRPr="0084082F">
        <w:rPr>
          <w:rFonts w:cstheme="minorHAnsi"/>
          <w:sz w:val="24"/>
          <w:szCs w:val="24"/>
        </w:rPr>
        <w:t>Con un ILS di CAT IIIA non deve essere inferiore a 200 metri;</w:t>
      </w:r>
    </w:p>
    <w:p w14:paraId="686C18BD" w14:textId="77777777" w:rsidR="0088578A" w:rsidRPr="0084082F" w:rsidRDefault="009F6E5A" w:rsidP="0088578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88578A" w:rsidRPr="0084082F">
        <w:rPr>
          <w:rFonts w:cstheme="minorHAnsi"/>
          <w:sz w:val="24"/>
          <w:szCs w:val="24"/>
        </w:rPr>
        <w:t>Con un ILS di CAT IIIB compresa fra 200 e 75 metri;</w:t>
      </w:r>
    </w:p>
    <w:p w14:paraId="15FDF2BD" w14:textId="77777777" w:rsidR="0088578A" w:rsidRPr="0084082F" w:rsidRDefault="009F6E5A" w:rsidP="0088578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4D6DF2" w:rsidRPr="0084082F">
        <w:rPr>
          <w:rFonts w:cstheme="minorHAnsi"/>
          <w:sz w:val="24"/>
          <w:szCs w:val="24"/>
        </w:rPr>
        <w:t>Con un ILS di CAT IIIC nessuna limitazione.</w:t>
      </w:r>
    </w:p>
    <w:p w14:paraId="4A55FB9A" w14:textId="77777777" w:rsidR="009A2AC8" w:rsidRPr="0084082F" w:rsidRDefault="009A2AC8" w:rsidP="0088578A">
      <w:pPr>
        <w:spacing w:after="0"/>
        <w:rPr>
          <w:rFonts w:cstheme="minorHAnsi"/>
          <w:sz w:val="24"/>
          <w:szCs w:val="24"/>
        </w:rPr>
      </w:pPr>
    </w:p>
    <w:p w14:paraId="5FA20C99" w14:textId="77777777" w:rsidR="009A2AC8" w:rsidRDefault="009A2AC8" w:rsidP="0088578A">
      <w:pPr>
        <w:spacing w:after="0"/>
        <w:rPr>
          <w:rFonts w:cstheme="minorHAnsi"/>
          <w:sz w:val="24"/>
          <w:szCs w:val="24"/>
        </w:rPr>
      </w:pPr>
      <w:r w:rsidRPr="0084082F">
        <w:rPr>
          <w:rFonts w:cstheme="minorHAnsi"/>
          <w:sz w:val="24"/>
          <w:szCs w:val="24"/>
        </w:rPr>
        <w:t xml:space="preserve">Come si può osservare una pista che dispone di un apparato </w:t>
      </w:r>
      <w:proofErr w:type="gramStart"/>
      <w:r w:rsidRPr="0084082F">
        <w:rPr>
          <w:rFonts w:cstheme="minorHAnsi"/>
          <w:sz w:val="24"/>
          <w:szCs w:val="24"/>
        </w:rPr>
        <w:t>di  categoria</w:t>
      </w:r>
      <w:proofErr w:type="gramEnd"/>
      <w:r w:rsidRPr="0084082F">
        <w:rPr>
          <w:rFonts w:cstheme="minorHAnsi"/>
          <w:sz w:val="24"/>
          <w:szCs w:val="24"/>
        </w:rPr>
        <w:t xml:space="preserve"> IIIB permette atterraggi anche con un RVR ridotto fino a 75 metri.</w:t>
      </w:r>
      <w:r w:rsidR="00FA289E" w:rsidRPr="0084082F">
        <w:rPr>
          <w:rFonts w:cstheme="minorHAnsi"/>
          <w:sz w:val="24"/>
          <w:szCs w:val="24"/>
        </w:rPr>
        <w:t xml:space="preserve">  Ma per una compagnia appena nata</w:t>
      </w:r>
      <w:r w:rsidR="009F6E5A">
        <w:rPr>
          <w:rFonts w:cstheme="minorHAnsi"/>
          <w:sz w:val="24"/>
          <w:szCs w:val="24"/>
        </w:rPr>
        <w:t>,</w:t>
      </w:r>
      <w:r w:rsidR="00FA289E" w:rsidRPr="0084082F">
        <w:rPr>
          <w:rFonts w:cstheme="minorHAnsi"/>
          <w:sz w:val="24"/>
          <w:szCs w:val="24"/>
        </w:rPr>
        <w:t xml:space="preserve"> con le certificazioni in corso di approvazione</w:t>
      </w:r>
      <w:r w:rsidR="009F6E5A">
        <w:rPr>
          <w:rFonts w:cstheme="minorHAnsi"/>
          <w:sz w:val="24"/>
          <w:szCs w:val="24"/>
        </w:rPr>
        <w:t>,</w:t>
      </w:r>
      <w:r w:rsidR="00FA289E" w:rsidRPr="0084082F">
        <w:rPr>
          <w:rFonts w:cstheme="minorHAnsi"/>
          <w:sz w:val="24"/>
          <w:szCs w:val="24"/>
        </w:rPr>
        <w:t xml:space="preserve"> ciò potrebbe non essere sufficiente.</w:t>
      </w:r>
    </w:p>
    <w:p w14:paraId="66CA38A0" w14:textId="77777777" w:rsidR="00263809" w:rsidRDefault="00263809" w:rsidP="0088578A">
      <w:pPr>
        <w:spacing w:after="0"/>
        <w:rPr>
          <w:rFonts w:cstheme="minorHAnsi"/>
          <w:sz w:val="24"/>
          <w:szCs w:val="24"/>
        </w:rPr>
      </w:pPr>
    </w:p>
    <w:p w14:paraId="76EB334E" w14:textId="77777777" w:rsidR="00FA289E" w:rsidRPr="0084082F" w:rsidRDefault="00FA289E" w:rsidP="00263809">
      <w:pPr>
        <w:pStyle w:val="NormaleWeb"/>
        <w:shd w:val="clear" w:color="auto" w:fill="FFFFFF"/>
        <w:spacing w:before="0" w:beforeAutospacing="0" w:after="115" w:afterAutospacing="0" w:line="276" w:lineRule="auto"/>
        <w:rPr>
          <w:rFonts w:asciiTheme="minorHAnsi" w:hAnsiTheme="minorHAnsi" w:cstheme="minorHAnsi"/>
          <w:color w:val="000000"/>
        </w:rPr>
      </w:pPr>
      <w:r w:rsidRPr="0084082F">
        <w:rPr>
          <w:rFonts w:asciiTheme="minorHAnsi" w:hAnsiTheme="minorHAnsi" w:cstheme="minorHAnsi"/>
          <w:color w:val="000000"/>
        </w:rPr>
        <w:lastRenderedPageBreak/>
        <w:t xml:space="preserve">Quanto appreso a ridosso dell’avvio delle operazioni (15 ottobre </w:t>
      </w:r>
      <w:proofErr w:type="gramStart"/>
      <w:r w:rsidRPr="0084082F">
        <w:rPr>
          <w:rFonts w:asciiTheme="minorHAnsi" w:hAnsiTheme="minorHAnsi" w:cstheme="minorHAnsi"/>
          <w:color w:val="000000"/>
        </w:rPr>
        <w:t>scorso)  ne</w:t>
      </w:r>
      <w:proofErr w:type="gramEnd"/>
      <w:r w:rsidRPr="0084082F">
        <w:rPr>
          <w:rFonts w:asciiTheme="minorHAnsi" w:hAnsiTheme="minorHAnsi" w:cstheme="minorHAnsi"/>
          <w:color w:val="000000"/>
        </w:rPr>
        <w:t xml:space="preserve"> sono un chiaro indice. </w:t>
      </w:r>
      <w:r w:rsidRPr="0084082F">
        <w:rPr>
          <w:rStyle w:val="Enfasigrassetto"/>
          <w:rFonts w:asciiTheme="minorHAnsi" w:hAnsiTheme="minorHAnsi" w:cstheme="minorHAnsi"/>
          <w:b w:val="0"/>
          <w:color w:val="000000"/>
        </w:rPr>
        <w:t>Ita</w:t>
      </w:r>
      <w:r w:rsidR="00263809">
        <w:rPr>
          <w:rStyle w:val="Enfasigrassetto"/>
          <w:rFonts w:asciiTheme="minorHAnsi" w:hAnsiTheme="minorHAnsi" w:cstheme="minorHAnsi"/>
          <w:b w:val="0"/>
          <w:color w:val="000000"/>
        </w:rPr>
        <w:t xml:space="preserve"> Airways</w:t>
      </w:r>
      <w:r w:rsidRPr="0084082F">
        <w:rPr>
          <w:rStyle w:val="Enfasigrassetto"/>
          <w:rFonts w:asciiTheme="minorHAnsi" w:hAnsiTheme="minorHAnsi" w:cstheme="minorHAnsi"/>
          <w:b w:val="0"/>
          <w:color w:val="000000"/>
        </w:rPr>
        <w:t xml:space="preserve"> ha ottenuto il certificato di operatore aereo</w:t>
      </w:r>
      <w:r w:rsidRPr="0084082F">
        <w:rPr>
          <w:rFonts w:asciiTheme="minorHAnsi" w:hAnsiTheme="minorHAnsi" w:cstheme="minorHAnsi"/>
          <w:color w:val="000000"/>
        </w:rPr>
        <w:t xml:space="preserve"> (Coa) e la licenza di esercizio, ma si ha l’impressione che questi certificati siano stati rilasciati “sotto condizione”, visto che uno dei requisiti richiesti per il rilascio del Coa è </w:t>
      </w:r>
      <w:r w:rsidRPr="009F6E5A">
        <w:rPr>
          <w:rFonts w:asciiTheme="minorHAnsi" w:hAnsiTheme="minorHAnsi" w:cstheme="minorHAnsi"/>
          <w:b/>
          <w:color w:val="000000"/>
        </w:rPr>
        <w:t>l’</w:t>
      </w:r>
      <w:r w:rsidRPr="009F6E5A">
        <w:rPr>
          <w:rStyle w:val="Enfasigrassetto"/>
          <w:rFonts w:asciiTheme="minorHAnsi" w:hAnsiTheme="minorHAnsi" w:cstheme="minorHAnsi"/>
          <w:b w:val="0"/>
          <w:color w:val="000000"/>
        </w:rPr>
        <w:t>addestramento dei piloti</w:t>
      </w:r>
      <w:r w:rsidRPr="009F6E5A">
        <w:rPr>
          <w:rFonts w:asciiTheme="minorHAnsi" w:hAnsiTheme="minorHAnsi" w:cstheme="minorHAnsi"/>
          <w:b/>
          <w:color w:val="000000"/>
        </w:rPr>
        <w:t>,</w:t>
      </w:r>
      <w:r w:rsidRPr="0084082F">
        <w:rPr>
          <w:rFonts w:asciiTheme="minorHAnsi" w:hAnsiTheme="minorHAnsi" w:cstheme="minorHAnsi"/>
          <w:color w:val="000000"/>
        </w:rPr>
        <w:t xml:space="preserve"> che nel caso di ITA sono di fresca assunzione.</w:t>
      </w:r>
    </w:p>
    <w:p w14:paraId="381C27BB" w14:textId="77777777" w:rsidR="007904CA" w:rsidRDefault="00FA289E" w:rsidP="00263809">
      <w:pPr>
        <w:pStyle w:val="NormaleWeb"/>
        <w:shd w:val="clear" w:color="auto" w:fill="FFFFFF"/>
        <w:spacing w:before="0" w:beforeAutospacing="0" w:after="115" w:afterAutospacing="0" w:line="276" w:lineRule="auto"/>
        <w:rPr>
          <w:rFonts w:asciiTheme="minorHAnsi" w:hAnsiTheme="minorHAnsi" w:cstheme="minorHAnsi"/>
          <w:color w:val="000000"/>
        </w:rPr>
      </w:pPr>
      <w:r w:rsidRPr="0084082F">
        <w:rPr>
          <w:rFonts w:asciiTheme="minorHAnsi" w:hAnsiTheme="minorHAnsi" w:cstheme="minorHAnsi"/>
          <w:color w:val="000000"/>
        </w:rPr>
        <w:t xml:space="preserve">Non è certo un caso se la compagnia pur annunciando l’inizio dei voli </w:t>
      </w:r>
      <w:r w:rsidR="005B48B2" w:rsidRPr="0084082F">
        <w:rPr>
          <w:rFonts w:asciiTheme="minorHAnsi" w:hAnsiTheme="minorHAnsi" w:cstheme="minorHAnsi"/>
          <w:color w:val="000000"/>
        </w:rPr>
        <w:t>dal 15 ottobre ha, ad esempio, a</w:t>
      </w:r>
      <w:r w:rsidR="00263809">
        <w:rPr>
          <w:rFonts w:asciiTheme="minorHAnsi" w:hAnsiTheme="minorHAnsi" w:cstheme="minorHAnsi"/>
          <w:color w:val="000000"/>
        </w:rPr>
        <w:t>vvertito</w:t>
      </w:r>
      <w:r w:rsidR="005B48B2" w:rsidRPr="0084082F">
        <w:rPr>
          <w:rFonts w:asciiTheme="minorHAnsi" w:hAnsiTheme="minorHAnsi" w:cstheme="minorHAnsi"/>
          <w:color w:val="000000"/>
        </w:rPr>
        <w:t xml:space="preserve"> che il volo su New York partirà invece dal</w:t>
      </w:r>
      <w:r w:rsidR="00263809">
        <w:rPr>
          <w:rFonts w:asciiTheme="minorHAnsi" w:hAnsiTheme="minorHAnsi" w:cstheme="minorHAnsi"/>
          <w:color w:val="000000"/>
        </w:rPr>
        <w:t xml:space="preserve"> prossimo</w:t>
      </w:r>
      <w:r w:rsidR="005B48B2" w:rsidRPr="0084082F">
        <w:rPr>
          <w:rFonts w:asciiTheme="minorHAnsi" w:hAnsiTheme="minorHAnsi" w:cstheme="minorHAnsi"/>
          <w:color w:val="000000"/>
        </w:rPr>
        <w:t xml:space="preserve"> quattro novembre. I voli sull’Atlantico </w:t>
      </w:r>
      <w:r w:rsidRPr="0084082F">
        <w:rPr>
          <w:rFonts w:asciiTheme="minorHAnsi" w:hAnsiTheme="minorHAnsi" w:cstheme="minorHAnsi"/>
          <w:color w:val="000000"/>
        </w:rPr>
        <w:t>devono essere operati con aeromobili in possesso del Type Approval Etops (</w:t>
      </w:r>
      <w:r w:rsidRPr="0084082F">
        <w:rPr>
          <w:rStyle w:val="Enfasicorsivo"/>
          <w:rFonts w:asciiTheme="minorHAnsi" w:hAnsiTheme="minorHAnsi" w:cstheme="minorHAnsi"/>
          <w:color w:val="000000"/>
        </w:rPr>
        <w:t>Extended Range Twin-engine Operational Standards</w:t>
      </w:r>
      <w:r w:rsidRPr="0084082F">
        <w:rPr>
          <w:rFonts w:asciiTheme="minorHAnsi" w:hAnsiTheme="minorHAnsi" w:cstheme="minorHAnsi"/>
          <w:color w:val="000000"/>
        </w:rPr>
        <w:t>), abilitati a volare fino a 180 minuti di volo dal più vicino aeroporto, cioè ad attraversare gli oceani. Anche se Ita</w:t>
      </w:r>
      <w:r w:rsidR="00263809">
        <w:rPr>
          <w:rFonts w:asciiTheme="minorHAnsi" w:hAnsiTheme="minorHAnsi" w:cstheme="minorHAnsi"/>
          <w:color w:val="000000"/>
        </w:rPr>
        <w:t xml:space="preserve"> Airways ha</w:t>
      </w:r>
      <w:r w:rsidRPr="0084082F">
        <w:rPr>
          <w:rFonts w:asciiTheme="minorHAnsi" w:hAnsiTheme="minorHAnsi" w:cstheme="minorHAnsi"/>
          <w:color w:val="000000"/>
        </w:rPr>
        <w:t xml:space="preserve"> acquista</w:t>
      </w:r>
      <w:r w:rsidR="00263809">
        <w:rPr>
          <w:rFonts w:asciiTheme="minorHAnsi" w:hAnsiTheme="minorHAnsi" w:cstheme="minorHAnsi"/>
          <w:color w:val="000000"/>
        </w:rPr>
        <w:t>to</w:t>
      </w:r>
      <w:r w:rsidRPr="0084082F">
        <w:rPr>
          <w:rFonts w:asciiTheme="minorHAnsi" w:hAnsiTheme="minorHAnsi" w:cstheme="minorHAnsi"/>
          <w:color w:val="000000"/>
        </w:rPr>
        <w:t xml:space="preserve"> da Alitalia aerei di lungo raggio abilitati Etops, non potrà impiegarli finché </w:t>
      </w:r>
      <w:r w:rsidR="00263809">
        <w:rPr>
          <w:rFonts w:asciiTheme="minorHAnsi" w:hAnsiTheme="minorHAnsi" w:cstheme="minorHAnsi"/>
          <w:color w:val="000000"/>
        </w:rPr>
        <w:t>le procedure di abilitazione non saranno completate</w:t>
      </w:r>
      <w:r w:rsidRPr="0084082F">
        <w:rPr>
          <w:rFonts w:asciiTheme="minorHAnsi" w:hAnsiTheme="minorHAnsi" w:cstheme="minorHAnsi"/>
          <w:color w:val="000000"/>
        </w:rPr>
        <w:t>. E questo richiede tempo</w:t>
      </w:r>
      <w:r w:rsidR="005B48B2" w:rsidRPr="0084082F">
        <w:rPr>
          <w:rFonts w:asciiTheme="minorHAnsi" w:hAnsiTheme="minorHAnsi" w:cstheme="minorHAnsi"/>
          <w:color w:val="000000"/>
        </w:rPr>
        <w:t xml:space="preserve"> aggiuntivo</w:t>
      </w:r>
      <w:r w:rsidRPr="0084082F">
        <w:rPr>
          <w:rFonts w:asciiTheme="minorHAnsi" w:hAnsiTheme="minorHAnsi" w:cstheme="minorHAnsi"/>
          <w:color w:val="000000"/>
        </w:rPr>
        <w:t>.</w:t>
      </w:r>
      <w:r w:rsidR="00263809">
        <w:rPr>
          <w:rFonts w:asciiTheme="minorHAnsi" w:hAnsiTheme="minorHAnsi" w:cstheme="minorHAnsi"/>
          <w:color w:val="000000"/>
        </w:rPr>
        <w:t xml:space="preserve"> </w:t>
      </w:r>
      <w:r w:rsidR="007904CA" w:rsidRPr="0084082F">
        <w:rPr>
          <w:rFonts w:asciiTheme="minorHAnsi" w:hAnsiTheme="minorHAnsi" w:cstheme="minorHAnsi"/>
          <w:color w:val="000000"/>
        </w:rPr>
        <w:t>Altri voli intercontinentali sono previsti</w:t>
      </w:r>
      <w:r w:rsidR="00263809">
        <w:rPr>
          <w:rFonts w:asciiTheme="minorHAnsi" w:hAnsiTheme="minorHAnsi" w:cstheme="minorHAnsi"/>
          <w:color w:val="000000"/>
        </w:rPr>
        <w:t xml:space="preserve"> solo a partire d</w:t>
      </w:r>
      <w:r w:rsidR="007904CA" w:rsidRPr="0084082F">
        <w:rPr>
          <w:rFonts w:asciiTheme="minorHAnsi" w:hAnsiTheme="minorHAnsi" w:cstheme="minorHAnsi"/>
          <w:color w:val="000000"/>
        </w:rPr>
        <w:t>a Marzo 2022.</w:t>
      </w:r>
    </w:p>
    <w:p w14:paraId="2B2CF618" w14:textId="77777777" w:rsidR="003F785D" w:rsidRDefault="003F785D" w:rsidP="00263809">
      <w:pPr>
        <w:pStyle w:val="NormaleWeb"/>
        <w:shd w:val="clear" w:color="auto" w:fill="FFFFFF"/>
        <w:spacing w:before="0" w:beforeAutospacing="0" w:after="115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Ora ricordando che in Italia </w:t>
      </w:r>
      <w:r w:rsidR="008C6423">
        <w:rPr>
          <w:rFonts w:asciiTheme="minorHAnsi" w:hAnsiTheme="minorHAnsi" w:cstheme="minorHAnsi"/>
          <w:color w:val="000000"/>
        </w:rPr>
        <w:t>vige</w:t>
      </w:r>
      <w:r>
        <w:rPr>
          <w:rFonts w:asciiTheme="minorHAnsi" w:hAnsiTheme="minorHAnsi" w:cstheme="minorHAnsi"/>
          <w:color w:val="000000"/>
        </w:rPr>
        <w:t xml:space="preserve"> l’ora legale e quindi </w:t>
      </w:r>
      <w:r w:rsidR="008C6423">
        <w:rPr>
          <w:rFonts w:asciiTheme="minorHAnsi" w:hAnsiTheme="minorHAnsi" w:cstheme="minorHAnsi"/>
          <w:color w:val="000000"/>
        </w:rPr>
        <w:t xml:space="preserve">siamo </w:t>
      </w:r>
      <w:r>
        <w:rPr>
          <w:rFonts w:asciiTheme="minorHAnsi" w:hAnsiTheme="minorHAnsi" w:cstheme="minorHAnsi"/>
          <w:color w:val="000000"/>
        </w:rPr>
        <w:t xml:space="preserve">avanti di due ore rispetto al tempo UTC, diamo uno </w:t>
      </w:r>
      <w:proofErr w:type="gramStart"/>
      <w:r>
        <w:rPr>
          <w:rFonts w:asciiTheme="minorHAnsi" w:hAnsiTheme="minorHAnsi" w:cstheme="minorHAnsi"/>
          <w:color w:val="000000"/>
        </w:rPr>
        <w:t>sguardo  a</w:t>
      </w:r>
      <w:proofErr w:type="gramEnd"/>
      <w:r>
        <w:rPr>
          <w:rFonts w:asciiTheme="minorHAnsi" w:hAnsiTheme="minorHAnsi" w:cstheme="minorHAnsi"/>
          <w:color w:val="000000"/>
        </w:rPr>
        <w:t xml:space="preserve"> quale era la situazione su Milano-Linate (LIML) alle ore 06.00Z</w:t>
      </w:r>
      <w:r w:rsidR="00263809">
        <w:rPr>
          <w:rFonts w:asciiTheme="minorHAnsi" w:hAnsiTheme="minorHAnsi" w:cstheme="minorHAnsi"/>
          <w:color w:val="000000"/>
        </w:rPr>
        <w:t xml:space="preserve"> del 22 ottobre</w:t>
      </w:r>
      <w:r>
        <w:rPr>
          <w:rFonts w:asciiTheme="minorHAnsi" w:hAnsiTheme="minorHAnsi" w:cstheme="minorHAnsi"/>
          <w:color w:val="000000"/>
        </w:rPr>
        <w:t xml:space="preserve"> quando cioè il volo partito da Fiumicino alle 07.00 locali è finito sulle cronache dei media in quanto invece </w:t>
      </w:r>
      <w:r w:rsidR="008C6423">
        <w:rPr>
          <w:rFonts w:asciiTheme="minorHAnsi" w:hAnsiTheme="minorHAnsi" w:cstheme="minorHAnsi"/>
          <w:color w:val="000000"/>
        </w:rPr>
        <w:t>di atterrare a</w:t>
      </w:r>
      <w:r>
        <w:rPr>
          <w:rFonts w:asciiTheme="minorHAnsi" w:hAnsiTheme="minorHAnsi" w:cstheme="minorHAnsi"/>
          <w:color w:val="000000"/>
        </w:rPr>
        <w:t xml:space="preserve"> Linate</w:t>
      </w:r>
      <w:r w:rsidR="008C6423">
        <w:rPr>
          <w:rFonts w:asciiTheme="minorHAnsi" w:hAnsiTheme="minorHAnsi" w:cstheme="minorHAnsi"/>
          <w:color w:val="000000"/>
        </w:rPr>
        <w:t xml:space="preserve"> come avrebbe dovuto,</w:t>
      </w:r>
      <w:r>
        <w:rPr>
          <w:rFonts w:asciiTheme="minorHAnsi" w:hAnsiTheme="minorHAnsi" w:cstheme="minorHAnsi"/>
          <w:color w:val="000000"/>
        </w:rPr>
        <w:t xml:space="preserve"> è atterrato a Genova (AZ2010 FCO/LIN) .</w:t>
      </w:r>
    </w:p>
    <w:p w14:paraId="76E9C34B" w14:textId="77777777" w:rsidR="005B5000" w:rsidRDefault="005B5000" w:rsidP="00FA289E">
      <w:pPr>
        <w:pStyle w:val="NormaleWeb"/>
        <w:shd w:val="clear" w:color="auto" w:fill="FFFFFF"/>
        <w:spacing w:before="0" w:beforeAutospacing="0" w:after="115" w:afterAutospacing="0"/>
        <w:rPr>
          <w:rFonts w:asciiTheme="minorHAnsi" w:hAnsiTheme="minorHAnsi" w:cstheme="minorHAnsi"/>
          <w:color w:val="000000"/>
        </w:rPr>
      </w:pPr>
    </w:p>
    <w:p w14:paraId="00F60684" w14:textId="77777777" w:rsidR="005B5000" w:rsidRDefault="00BE0FF2" w:rsidP="00BE0FF2">
      <w:pPr>
        <w:pStyle w:val="NormaleWeb"/>
        <w:shd w:val="clear" w:color="auto" w:fill="FFFFFF"/>
        <w:spacing w:before="0" w:beforeAutospacing="0" w:after="115" w:afterAutospacing="0"/>
        <w:jc w:val="center"/>
        <w:rPr>
          <w:rFonts w:asciiTheme="minorHAnsi" w:hAnsiTheme="minorHAnsi" w:cstheme="minorHAnsi"/>
          <w:color w:val="000000"/>
        </w:rPr>
      </w:pPr>
      <w:r w:rsidRPr="00BE0FF2">
        <w:rPr>
          <w:rFonts w:asciiTheme="minorHAnsi" w:hAnsiTheme="minorHAnsi" w:cstheme="minorHAnsi"/>
          <w:noProof/>
          <w:color w:val="000000"/>
          <w:bdr w:val="single" w:sz="12" w:space="0" w:color="auto"/>
        </w:rPr>
        <w:drawing>
          <wp:inline distT="0" distB="0" distL="0" distR="0" wp14:anchorId="5FA16660" wp14:editId="4DE15AC0">
            <wp:extent cx="3624450" cy="2124000"/>
            <wp:effectExtent l="19050" t="0" r="0" b="0"/>
            <wp:docPr id="2" name="Immagine 1" descr="METARImmagin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ARImmagine 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4450" cy="21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4A993" w14:textId="77777777" w:rsidR="00FE4121" w:rsidRPr="0084082F" w:rsidRDefault="00FE4121" w:rsidP="00BE0FF2">
      <w:pPr>
        <w:pStyle w:val="NormaleWeb"/>
        <w:shd w:val="clear" w:color="auto" w:fill="FFFFFF"/>
        <w:spacing w:before="0" w:beforeAutospacing="0" w:after="115" w:afterAutospacing="0"/>
        <w:jc w:val="center"/>
        <w:rPr>
          <w:rFonts w:asciiTheme="minorHAnsi" w:hAnsiTheme="minorHAnsi" w:cstheme="minorHAnsi"/>
          <w:color w:val="000000"/>
        </w:rPr>
      </w:pPr>
      <w:r w:rsidRPr="00FE4121">
        <w:rPr>
          <w:rFonts w:asciiTheme="minorHAnsi" w:hAnsiTheme="minorHAnsi" w:cstheme="minorHAnsi"/>
          <w:noProof/>
          <w:color w:val="000000"/>
          <w:bdr w:val="single" w:sz="12" w:space="0" w:color="auto"/>
        </w:rPr>
        <w:lastRenderedPageBreak/>
        <w:drawing>
          <wp:inline distT="0" distB="0" distL="0" distR="0" wp14:anchorId="5963447A" wp14:editId="5046D629">
            <wp:extent cx="3647969" cy="2880000"/>
            <wp:effectExtent l="19050" t="0" r="0" b="0"/>
            <wp:docPr id="4" name="Immagine 3" descr="METAR3Immagin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AR3Immagine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7969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A7261" w14:textId="77777777" w:rsidR="00FA289E" w:rsidRDefault="008C6423" w:rsidP="0088578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Nel primo dei due riquadri è presente la situazione alle 07.50 locali (0550Z) e alle 08.20 locali (0620Z</w:t>
      </w:r>
      <w:proofErr w:type="gramStart"/>
      <w:r>
        <w:rPr>
          <w:rFonts w:cstheme="minorHAnsi"/>
          <w:sz w:val="24"/>
          <w:szCs w:val="24"/>
        </w:rPr>
        <w:t xml:space="preserve">) </w:t>
      </w:r>
      <w:r w:rsidR="00263809">
        <w:rPr>
          <w:rFonts w:cstheme="minorHAnsi"/>
          <w:sz w:val="24"/>
          <w:szCs w:val="24"/>
        </w:rPr>
        <w:t>:</w:t>
      </w:r>
      <w:proofErr w:type="gramEnd"/>
      <w:r>
        <w:rPr>
          <w:rFonts w:cstheme="minorHAnsi"/>
          <w:sz w:val="24"/>
          <w:szCs w:val="24"/>
        </w:rPr>
        <w:t xml:space="preserve"> se andiamo alla “visibility”  troviamo che </w:t>
      </w:r>
      <w:r w:rsidR="00FE4121">
        <w:rPr>
          <w:rFonts w:cstheme="minorHAnsi"/>
          <w:sz w:val="24"/>
          <w:szCs w:val="24"/>
        </w:rPr>
        <w:t xml:space="preserve">sia </w:t>
      </w:r>
      <w:r>
        <w:rPr>
          <w:rFonts w:cstheme="minorHAnsi"/>
          <w:sz w:val="24"/>
          <w:szCs w:val="24"/>
        </w:rPr>
        <w:t xml:space="preserve">alle ore 07.50 </w:t>
      </w:r>
      <w:r w:rsidR="00FE4121">
        <w:rPr>
          <w:rFonts w:cstheme="minorHAnsi"/>
          <w:sz w:val="24"/>
          <w:szCs w:val="24"/>
        </w:rPr>
        <w:t>come alle 08,20 la visibilità era di 400 metri; la situazione è rimasta invariata fino alle 09.20 locali quando è aumentata a 500 metri per divenire poi 1500 metri alle 09.50</w:t>
      </w:r>
    </w:p>
    <w:p w14:paraId="6292A98F" w14:textId="77777777" w:rsidR="002440CA" w:rsidRDefault="002440CA" w:rsidP="0088578A">
      <w:pPr>
        <w:spacing w:after="0"/>
        <w:rPr>
          <w:rFonts w:cstheme="minorHAnsi"/>
          <w:sz w:val="24"/>
          <w:szCs w:val="24"/>
        </w:rPr>
      </w:pPr>
    </w:p>
    <w:p w14:paraId="2F7FC73D" w14:textId="77777777" w:rsidR="002440CA" w:rsidRDefault="002440CA" w:rsidP="0088578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 non solo, uno sguardo a ciò che è avvenuto a Linate intorno alle ore 08.00 locali del 22 ottobre dimostra che alle 08.04 è atterrato il Volotea 71124 proveniente da Cagliari e alle 07.48 era atterrato un altro Volotea (71150) proveniente da Alghero.</w:t>
      </w:r>
    </w:p>
    <w:p w14:paraId="540B4567" w14:textId="77777777" w:rsidR="002440CA" w:rsidRDefault="002440CA" w:rsidP="0088578A">
      <w:pPr>
        <w:spacing w:after="0"/>
        <w:rPr>
          <w:rFonts w:cstheme="minorHAnsi"/>
          <w:sz w:val="24"/>
          <w:szCs w:val="24"/>
        </w:rPr>
      </w:pPr>
    </w:p>
    <w:p w14:paraId="4F725CE1" w14:textId="77777777" w:rsidR="002440CA" w:rsidRDefault="002440CA" w:rsidP="0088578A">
      <w:pPr>
        <w:spacing w:after="0"/>
        <w:rPr>
          <w:rFonts w:cstheme="minorHAnsi"/>
          <w:sz w:val="24"/>
          <w:szCs w:val="24"/>
        </w:rPr>
      </w:pPr>
      <w:r w:rsidRPr="002440CA">
        <w:rPr>
          <w:rFonts w:cstheme="minorHAnsi"/>
          <w:noProof/>
          <w:sz w:val="24"/>
          <w:szCs w:val="24"/>
          <w:bdr w:val="single" w:sz="4" w:space="0" w:color="auto"/>
          <w:lang w:eastAsia="it-IT"/>
        </w:rPr>
        <w:drawing>
          <wp:inline distT="0" distB="0" distL="0" distR="0" wp14:anchorId="4892B491" wp14:editId="3F25F811">
            <wp:extent cx="4687681" cy="1512000"/>
            <wp:effectExtent l="19050" t="0" r="0" b="0"/>
            <wp:docPr id="5" name="Immagine 4" descr="Volotea71124Immagin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otea71124Immagine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7681" cy="15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</w:t>
      </w:r>
    </w:p>
    <w:p w14:paraId="7162031F" w14:textId="77777777" w:rsidR="00CC5DDB" w:rsidRDefault="00CC5DDB" w:rsidP="0088578A">
      <w:pPr>
        <w:spacing w:after="0"/>
        <w:rPr>
          <w:rFonts w:cstheme="minorHAnsi"/>
          <w:sz w:val="24"/>
          <w:szCs w:val="24"/>
        </w:rPr>
      </w:pPr>
    </w:p>
    <w:p w14:paraId="581E9EDE" w14:textId="77777777" w:rsidR="00CC5DDB" w:rsidRPr="0084082F" w:rsidRDefault="002440CA" w:rsidP="0088578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drawing>
          <wp:inline distT="0" distB="0" distL="0" distR="0" wp14:anchorId="2EAA7267" wp14:editId="5BF3A52B">
            <wp:extent cx="4704450" cy="2088000"/>
            <wp:effectExtent l="19050" t="0" r="900" b="0"/>
            <wp:docPr id="6" name="Immagine 5" descr="volotea 71150Immagin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otea 71150Immagine (2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4450" cy="20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185FD" w14:textId="77777777" w:rsidR="0088578A" w:rsidRPr="0088578A" w:rsidRDefault="0088578A" w:rsidP="0088578A">
      <w:pPr>
        <w:rPr>
          <w:rFonts w:cstheme="minorHAnsi"/>
        </w:rPr>
      </w:pPr>
    </w:p>
    <w:p w14:paraId="003DFE80" w14:textId="77777777" w:rsidR="0024713A" w:rsidRDefault="00D47A73" w:rsidP="00476F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 wp14:anchorId="2D1454F7" wp14:editId="000C4241">
            <wp:extent cx="6120130" cy="3013710"/>
            <wp:effectExtent l="19050" t="0" r="0" b="0"/>
            <wp:docPr id="3" name="Immagine 2" descr="AZ2010Immagin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Z2010Immagine (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921D4" w14:textId="77777777" w:rsidR="00D47A73" w:rsidRDefault="00D47A73" w:rsidP="00476FC7">
      <w:pPr>
        <w:rPr>
          <w:rFonts w:ascii="Times New Roman" w:hAnsi="Times New Roman" w:cs="Times New Roman"/>
          <w:sz w:val="24"/>
          <w:szCs w:val="24"/>
        </w:rPr>
      </w:pPr>
    </w:p>
    <w:p w14:paraId="2773BE1A" w14:textId="77777777" w:rsidR="00D47A73" w:rsidRDefault="00D47A73" w:rsidP="00476FC7">
      <w:pPr>
        <w:rPr>
          <w:rFonts w:cstheme="minorHAnsi"/>
          <w:sz w:val="24"/>
          <w:szCs w:val="24"/>
        </w:rPr>
      </w:pPr>
      <w:r w:rsidRPr="00D47A73">
        <w:rPr>
          <w:rFonts w:cstheme="minorHAnsi"/>
          <w:sz w:val="24"/>
          <w:szCs w:val="24"/>
        </w:rPr>
        <w:t xml:space="preserve">Ecco spiegato il motivo per cui il volo </w:t>
      </w:r>
      <w:r>
        <w:rPr>
          <w:rFonts w:cstheme="minorHAnsi"/>
          <w:sz w:val="24"/>
          <w:szCs w:val="24"/>
        </w:rPr>
        <w:t>AZ</w:t>
      </w:r>
      <w:r w:rsidRPr="00D47A73">
        <w:rPr>
          <w:rFonts w:cstheme="minorHAnsi"/>
          <w:sz w:val="24"/>
          <w:szCs w:val="24"/>
        </w:rPr>
        <w:t xml:space="preserve">2010 ha terminato la sua corsa su Genova dopo aver fatto non </w:t>
      </w:r>
      <w:r>
        <w:rPr>
          <w:rFonts w:cstheme="minorHAnsi"/>
          <w:sz w:val="24"/>
          <w:szCs w:val="24"/>
        </w:rPr>
        <w:t>pochi 360 su Rapallo e dintorni, come dimostrato dalla immagine surriportata.</w:t>
      </w:r>
    </w:p>
    <w:p w14:paraId="1E50A584" w14:textId="77777777" w:rsidR="00D47A73" w:rsidRPr="00D47A73" w:rsidRDefault="00D47A73" w:rsidP="00476FC7">
      <w:pPr>
        <w:rPr>
          <w:rFonts w:cstheme="minorHAnsi"/>
          <w:sz w:val="24"/>
          <w:szCs w:val="24"/>
        </w:rPr>
      </w:pPr>
    </w:p>
    <w:p w14:paraId="16EA8A07" w14:textId="77777777" w:rsidR="0024713A" w:rsidRPr="00FE4121" w:rsidRDefault="0024713A" w:rsidP="00FE4121">
      <w:pPr>
        <w:spacing w:after="0"/>
        <w:rPr>
          <w:rFonts w:cstheme="minorHAnsi"/>
          <w:sz w:val="20"/>
          <w:szCs w:val="20"/>
        </w:rPr>
      </w:pPr>
      <w:r w:rsidRPr="00FE4121">
        <w:rPr>
          <w:rFonts w:cstheme="minorHAnsi"/>
          <w:sz w:val="20"/>
          <w:szCs w:val="20"/>
        </w:rPr>
        <w:t>(1) L'altitudine di decisione (DA) o l'altezza di decisione (DH) è un'altitudine o un'altezza specificata nell'avvicinamento di precisione o nell'avvicinamento con guida verticale</w:t>
      </w:r>
      <w:r w:rsidR="00FE4121">
        <w:rPr>
          <w:rFonts w:cstheme="minorHAnsi"/>
          <w:sz w:val="20"/>
          <w:szCs w:val="20"/>
        </w:rPr>
        <w:t xml:space="preserve"> raggiunta</w:t>
      </w:r>
      <w:r w:rsidRPr="00FE4121">
        <w:rPr>
          <w:rFonts w:cstheme="minorHAnsi"/>
          <w:sz w:val="20"/>
          <w:szCs w:val="20"/>
        </w:rPr>
        <w:t xml:space="preserve"> la quale deve essere iniziato un </w:t>
      </w:r>
      <w:r w:rsidR="00FE4121">
        <w:rPr>
          <w:rFonts w:cstheme="minorHAnsi"/>
          <w:sz w:val="20"/>
          <w:szCs w:val="20"/>
        </w:rPr>
        <w:t xml:space="preserve">mancato avvicinamento </w:t>
      </w:r>
      <w:r w:rsidRPr="00FE4121">
        <w:rPr>
          <w:rFonts w:cstheme="minorHAnsi"/>
          <w:sz w:val="20"/>
          <w:szCs w:val="20"/>
        </w:rPr>
        <w:t xml:space="preserve">se non è stato stabilito il riferimento visivo richiesto per continuare l'avvicinamento. </w:t>
      </w:r>
    </w:p>
    <w:p w14:paraId="3EBDF68D" w14:textId="77777777" w:rsidR="003F785D" w:rsidRPr="00FE4121" w:rsidRDefault="0024713A" w:rsidP="0024713A">
      <w:pPr>
        <w:spacing w:after="0"/>
        <w:rPr>
          <w:rFonts w:cstheme="minorHAnsi"/>
          <w:sz w:val="20"/>
          <w:szCs w:val="20"/>
        </w:rPr>
      </w:pPr>
      <w:r w:rsidRPr="00FE4121">
        <w:rPr>
          <w:rFonts w:cstheme="minorHAnsi"/>
          <w:sz w:val="20"/>
          <w:szCs w:val="20"/>
        </w:rPr>
        <w:t xml:space="preserve">La DH per gli avvicinamenti di categoria II e III è invariabilmente valutata con riferimento a un radioaltimetro e mai a un altimetro barometrico; quindi i minimi possono essere espressi solo come DH e non come DA. </w:t>
      </w:r>
    </w:p>
    <w:p w14:paraId="18A8480E" w14:textId="77777777" w:rsidR="003F785D" w:rsidRDefault="003F785D" w:rsidP="0024713A">
      <w:pPr>
        <w:spacing w:after="0"/>
        <w:rPr>
          <w:rFonts w:cstheme="minorHAnsi"/>
          <w:sz w:val="20"/>
          <w:szCs w:val="20"/>
        </w:rPr>
      </w:pPr>
      <w:r w:rsidRPr="00FE4121">
        <w:rPr>
          <w:rFonts w:cstheme="minorHAnsi"/>
          <w:sz w:val="20"/>
          <w:szCs w:val="20"/>
        </w:rPr>
        <w:t xml:space="preserve">(2) </w:t>
      </w:r>
      <w:hyperlink r:id="rId9" w:history="1">
        <w:r w:rsidR="00FE4121" w:rsidRPr="00FE674E">
          <w:rPr>
            <w:rStyle w:val="Collegamentoipertestuale"/>
            <w:rFonts w:cstheme="minorHAnsi"/>
            <w:sz w:val="20"/>
            <w:szCs w:val="20"/>
          </w:rPr>
          <w:t>https://aviationweather.gov/metar/data?ids=LIML&amp;format=raw&amp;date=&amp;hours=120</w:t>
        </w:r>
      </w:hyperlink>
      <w:r w:rsidR="00FE4121">
        <w:rPr>
          <w:rFonts w:cstheme="minorHAnsi"/>
          <w:sz w:val="20"/>
          <w:szCs w:val="20"/>
        </w:rPr>
        <w:t xml:space="preserve"> ; essendo la tabella tratta da una fonte statunitense, la visibilità viene espressa anche in “SM” (Statute Miles)</w:t>
      </w:r>
    </w:p>
    <w:p w14:paraId="0AE109D8" w14:textId="77777777" w:rsidR="00D47A73" w:rsidRDefault="00D47A73" w:rsidP="0024713A">
      <w:pPr>
        <w:spacing w:after="0"/>
        <w:rPr>
          <w:rFonts w:cstheme="minorHAnsi"/>
          <w:sz w:val="20"/>
          <w:szCs w:val="20"/>
        </w:rPr>
      </w:pPr>
    </w:p>
    <w:p w14:paraId="76436541" w14:textId="77777777" w:rsidR="00D47A73" w:rsidRPr="00FE4121" w:rsidRDefault="00D47A73" w:rsidP="0024713A">
      <w:pPr>
        <w:spacing w:after="0"/>
        <w:rPr>
          <w:rFonts w:cstheme="minorHAnsi"/>
          <w:sz w:val="20"/>
          <w:szCs w:val="20"/>
        </w:rPr>
      </w:pPr>
    </w:p>
    <w:p w14:paraId="12905AE3" w14:textId="77777777" w:rsidR="0024713A" w:rsidRPr="0024713A" w:rsidRDefault="0024713A" w:rsidP="002471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FB7C13" w14:textId="77777777" w:rsidR="0024713A" w:rsidRDefault="00F97322" w:rsidP="0024713A">
      <w:pPr>
        <w:rPr>
          <w:b/>
          <w:i/>
          <w:color w:val="0070C0"/>
        </w:rPr>
      </w:pPr>
      <w:r>
        <w:tab/>
      </w:r>
      <w:r>
        <w:tab/>
      </w:r>
      <w:r>
        <w:tab/>
      </w:r>
      <w:r>
        <w:tab/>
      </w:r>
      <w:hyperlink r:id="rId10" w:history="1">
        <w:r w:rsidRPr="006D4C6D">
          <w:rPr>
            <w:rStyle w:val="Collegamentoipertestuale"/>
            <w:b/>
            <w:i/>
          </w:rPr>
          <w:t>www.aviation-industry-news.com</w:t>
        </w:r>
      </w:hyperlink>
    </w:p>
    <w:p w14:paraId="38D3B4ED" w14:textId="77777777" w:rsidR="00F97322" w:rsidRDefault="00F97322" w:rsidP="0024713A">
      <w:pPr>
        <w:rPr>
          <w:b/>
          <w:i/>
          <w:color w:val="0070C0"/>
        </w:rPr>
      </w:pPr>
    </w:p>
    <w:p w14:paraId="2CD0C1A3" w14:textId="77777777" w:rsidR="00F97322" w:rsidRPr="005112AE" w:rsidRDefault="005112AE" w:rsidP="0024713A">
      <w:pPr>
        <w:rPr>
          <w:i/>
          <w:sz w:val="16"/>
          <w:szCs w:val="16"/>
        </w:rPr>
      </w:pPr>
      <w:r w:rsidRPr="005112AE">
        <w:rPr>
          <w:i/>
          <w:sz w:val="16"/>
          <w:szCs w:val="16"/>
        </w:rPr>
        <w:t>26/10/2021</w:t>
      </w:r>
    </w:p>
    <w:sectPr w:rsidR="00F97322" w:rsidRPr="005112AE" w:rsidSect="00E452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25"/>
    <w:rsid w:val="00055140"/>
    <w:rsid w:val="000C3C55"/>
    <w:rsid w:val="000E560D"/>
    <w:rsid w:val="001128D4"/>
    <w:rsid w:val="002440CA"/>
    <w:rsid w:val="0024713A"/>
    <w:rsid w:val="00263809"/>
    <w:rsid w:val="003F785D"/>
    <w:rsid w:val="00455F2D"/>
    <w:rsid w:val="00476FC7"/>
    <w:rsid w:val="004A52A9"/>
    <w:rsid w:val="004D6DF2"/>
    <w:rsid w:val="005112AE"/>
    <w:rsid w:val="005B48B2"/>
    <w:rsid w:val="005B5000"/>
    <w:rsid w:val="007904CA"/>
    <w:rsid w:val="007A535C"/>
    <w:rsid w:val="00834978"/>
    <w:rsid w:val="0084082F"/>
    <w:rsid w:val="0088578A"/>
    <w:rsid w:val="008C6423"/>
    <w:rsid w:val="00902F25"/>
    <w:rsid w:val="00984BA1"/>
    <w:rsid w:val="0099129E"/>
    <w:rsid w:val="009A2AC8"/>
    <w:rsid w:val="009E4ACF"/>
    <w:rsid w:val="009F6E5A"/>
    <w:rsid w:val="00A51D7A"/>
    <w:rsid w:val="00A6136A"/>
    <w:rsid w:val="00B43955"/>
    <w:rsid w:val="00B84B3B"/>
    <w:rsid w:val="00BD3387"/>
    <w:rsid w:val="00BE0FF2"/>
    <w:rsid w:val="00CA1BCD"/>
    <w:rsid w:val="00CC5DDB"/>
    <w:rsid w:val="00D47A73"/>
    <w:rsid w:val="00E2198A"/>
    <w:rsid w:val="00E45215"/>
    <w:rsid w:val="00EC051E"/>
    <w:rsid w:val="00EC41F2"/>
    <w:rsid w:val="00F871B1"/>
    <w:rsid w:val="00F97322"/>
    <w:rsid w:val="00FA289E"/>
    <w:rsid w:val="00FC24CD"/>
    <w:rsid w:val="00FE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B0C37"/>
  <w15:docId w15:val="{899E94CE-E7DD-4342-B268-A4E1310D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52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02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02F25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A289E"/>
    <w:rPr>
      <w:b/>
      <w:bCs/>
    </w:rPr>
  </w:style>
  <w:style w:type="character" w:styleId="Enfasicorsivo">
    <w:name w:val="Emphasis"/>
    <w:basedOn w:val="Carpredefinitoparagrafo"/>
    <w:uiPriority w:val="20"/>
    <w:qFormat/>
    <w:rsid w:val="00FA289E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5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5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4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aviation-industry-news.co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aviationweather.gov/metar/data?ids=LIML&amp;format=raw&amp;date=&amp;hours=1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 Bordoni</cp:lastModifiedBy>
  <cp:revision>3</cp:revision>
  <dcterms:created xsi:type="dcterms:W3CDTF">2021-10-26T11:00:00Z</dcterms:created>
  <dcterms:modified xsi:type="dcterms:W3CDTF">2021-10-26T11:04:00Z</dcterms:modified>
</cp:coreProperties>
</file>