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759D9" w14:textId="6ADD8558" w:rsidR="00D03189" w:rsidRDefault="00D03189">
      <w:pPr>
        <w:rPr>
          <w:rFonts w:cstheme="minorHAnsi"/>
        </w:rPr>
      </w:pPr>
      <w:r>
        <w:rPr>
          <w:rFonts w:cs="Arial"/>
          <w:b/>
          <w:noProof/>
          <w:color w:val="4472C4" w:themeColor="accent1"/>
          <w:sz w:val="28"/>
          <w:szCs w:val="28"/>
        </w:rPr>
        <w:drawing>
          <wp:inline distT="0" distB="0" distL="0" distR="0" wp14:anchorId="575DEF0E" wp14:editId="49A8C6C0">
            <wp:extent cx="1854000" cy="298800"/>
            <wp:effectExtent l="0" t="0" r="0" b="63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</w:p>
    <w:p w14:paraId="50EF990C" w14:textId="77777777" w:rsidR="00272577" w:rsidRDefault="00D03189" w:rsidP="00D03189">
      <w:pPr>
        <w:ind w:left="1416" w:firstLine="708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    </w:t>
      </w:r>
    </w:p>
    <w:p w14:paraId="638245DE" w14:textId="04C9E8AB" w:rsidR="000C0E3F" w:rsidRPr="00D03189" w:rsidRDefault="00D03189" w:rsidP="00D03189">
      <w:pPr>
        <w:ind w:left="1416" w:firstLine="708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 CRESCITA: INDIETRO TUTTA AL 2003</w:t>
      </w:r>
    </w:p>
    <w:p w14:paraId="6B034AA7" w14:textId="7853C666" w:rsidR="000A207B" w:rsidRDefault="000A207B">
      <w:pPr>
        <w:rPr>
          <w:rFonts w:cstheme="minorHAnsi"/>
        </w:rPr>
      </w:pPr>
    </w:p>
    <w:p w14:paraId="40EF4040" w14:textId="78D2F3AD" w:rsidR="000A207B" w:rsidRDefault="000A207B" w:rsidP="000A207B">
      <w:pPr>
        <w:spacing w:after="0"/>
        <w:rPr>
          <w:rFonts w:cstheme="minorHAnsi"/>
        </w:rPr>
      </w:pPr>
      <w:r>
        <w:rPr>
          <w:rFonts w:cstheme="minorHAnsi"/>
        </w:rPr>
        <w:t>Da Montreal giungono funeste notizie sullo stato dell’aviazione civile. Secondo l’ICAO nell’intero anno 2020</w:t>
      </w:r>
    </w:p>
    <w:p w14:paraId="4FDB3074" w14:textId="29E2AF16" w:rsidR="000A207B" w:rsidRDefault="000A207B">
      <w:pPr>
        <w:rPr>
          <w:rFonts w:cstheme="minorHAnsi"/>
        </w:rPr>
      </w:pPr>
      <w:r>
        <w:rPr>
          <w:rFonts w:cstheme="minorHAnsi"/>
        </w:rPr>
        <w:t>si sono registrati:</w:t>
      </w:r>
    </w:p>
    <w:p w14:paraId="78639A42" w14:textId="1996478B" w:rsidR="000A207B" w:rsidRDefault="000A207B">
      <w:pPr>
        <w:rPr>
          <w:rFonts w:cstheme="minorHAnsi"/>
        </w:rPr>
      </w:pPr>
      <w:r>
        <w:rPr>
          <w:rFonts w:cstheme="minorHAnsi"/>
        </w:rPr>
        <w:t xml:space="preserve">•2.851.000.000 passeggeri in meno rispetto a quelli trasportati nel 2019 </w:t>
      </w:r>
      <w:r w:rsidR="00B318D0">
        <w:rPr>
          <w:rFonts w:cstheme="minorHAnsi"/>
        </w:rPr>
        <w:t>, equivalente a un meno 60% ;</w:t>
      </w:r>
    </w:p>
    <w:p w14:paraId="21C6CD44" w14:textId="315BEAF5" w:rsidR="000A207B" w:rsidRDefault="000A207B">
      <w:pPr>
        <w:rPr>
          <w:rFonts w:cstheme="minorHAnsi"/>
        </w:rPr>
      </w:pPr>
      <w:r>
        <w:rPr>
          <w:rFonts w:cstheme="minorHAnsi"/>
        </w:rPr>
        <w:t xml:space="preserve">•391.000.000.000 dollari di mancato </w:t>
      </w:r>
      <w:r w:rsidRPr="001A36CA">
        <w:rPr>
          <w:rFonts w:cstheme="minorHAnsi"/>
          <w:i/>
          <w:iCs/>
        </w:rPr>
        <w:t xml:space="preserve">revenue </w:t>
      </w:r>
      <w:r>
        <w:rPr>
          <w:rFonts w:cstheme="minorHAnsi"/>
        </w:rPr>
        <w:t>;</w:t>
      </w:r>
    </w:p>
    <w:p w14:paraId="2E51953E" w14:textId="18D377B5" w:rsidR="000A207B" w:rsidRDefault="000A207B">
      <w:pPr>
        <w:rPr>
          <w:rFonts w:cstheme="minorHAnsi"/>
        </w:rPr>
      </w:pPr>
      <w:r>
        <w:rPr>
          <w:rFonts w:cstheme="minorHAnsi"/>
        </w:rPr>
        <w:t>•Una riduzione complessiva del 51 per cento dei posti offerti dalle aerolinee.</w:t>
      </w:r>
    </w:p>
    <w:p w14:paraId="621819E6" w14:textId="31AF31A9" w:rsidR="00FF0430" w:rsidRDefault="000A207B">
      <w:pPr>
        <w:rPr>
          <w:rFonts w:cstheme="minorHAnsi"/>
        </w:rPr>
      </w:pPr>
      <w:r>
        <w:rPr>
          <w:rFonts w:cstheme="minorHAnsi"/>
        </w:rPr>
        <w:t xml:space="preserve">Scendendo nel dettaglio delle singole aree geografiche </w:t>
      </w:r>
      <w:r w:rsidR="00FF0430">
        <w:rPr>
          <w:rFonts w:cstheme="minorHAnsi"/>
        </w:rPr>
        <w:t xml:space="preserve">l’immagine che segue  mostra </w:t>
      </w:r>
      <w:r w:rsidR="00BA7ECF">
        <w:rPr>
          <w:rFonts w:cstheme="minorHAnsi"/>
        </w:rPr>
        <w:t>gli impatti previsti</w:t>
      </w:r>
      <w:r w:rsidR="00B318D0">
        <w:rPr>
          <w:rFonts w:cstheme="minorHAnsi"/>
        </w:rPr>
        <w:t xml:space="preserve"> sul </w:t>
      </w:r>
      <w:r w:rsidR="001A36CA">
        <w:rPr>
          <w:rFonts w:cstheme="minorHAnsi"/>
        </w:rPr>
        <w:t xml:space="preserve">solo </w:t>
      </w:r>
      <w:r w:rsidR="00B318D0" w:rsidRPr="001A36CA">
        <w:rPr>
          <w:rFonts w:cstheme="minorHAnsi"/>
          <w:b/>
          <w:bCs/>
        </w:rPr>
        <w:t>settore internazionale</w:t>
      </w:r>
      <w:r w:rsidR="00B318D0">
        <w:rPr>
          <w:rFonts w:cstheme="minorHAnsi"/>
        </w:rPr>
        <w:t>. A queste cifre bisogna</w:t>
      </w:r>
      <w:r w:rsidR="001A36CA">
        <w:rPr>
          <w:rFonts w:cstheme="minorHAnsi"/>
        </w:rPr>
        <w:t xml:space="preserve"> poi</w:t>
      </w:r>
      <w:r w:rsidR="00B318D0">
        <w:rPr>
          <w:rFonts w:cstheme="minorHAnsi"/>
        </w:rPr>
        <w:t xml:space="preserve"> aggiungere quelle </w:t>
      </w:r>
      <w:r w:rsidR="00BA7ECF">
        <w:rPr>
          <w:rFonts w:cstheme="minorHAnsi"/>
        </w:rPr>
        <w:t>dei</w:t>
      </w:r>
      <w:r w:rsidR="00B318D0">
        <w:rPr>
          <w:rFonts w:cstheme="minorHAnsi"/>
        </w:rPr>
        <w:t xml:space="preserve"> settori domestici. Il totale delle due </w:t>
      </w:r>
      <w:r w:rsidR="00D03189">
        <w:rPr>
          <w:rFonts w:cstheme="minorHAnsi"/>
        </w:rPr>
        <w:t>ci riporta</w:t>
      </w:r>
      <w:r w:rsidR="00B318D0">
        <w:rPr>
          <w:rFonts w:cstheme="minorHAnsi"/>
        </w:rPr>
        <w:t xml:space="preserve"> a quei 391 miliardi di mancato </w:t>
      </w:r>
      <w:r w:rsidR="00B318D0" w:rsidRPr="001A36CA">
        <w:rPr>
          <w:rFonts w:cstheme="minorHAnsi"/>
          <w:i/>
          <w:iCs/>
        </w:rPr>
        <w:t>revenue</w:t>
      </w:r>
      <w:r w:rsidR="00D03189">
        <w:rPr>
          <w:rFonts w:cstheme="minorHAnsi"/>
        </w:rPr>
        <w:t xml:space="preserve"> di cui sopra.</w:t>
      </w:r>
      <w:r w:rsidR="00FF0430">
        <w:rPr>
          <w:rFonts w:cstheme="minorHAnsi"/>
        </w:rPr>
        <w:t xml:space="preserve"> </w:t>
      </w:r>
    </w:p>
    <w:p w14:paraId="01B37970" w14:textId="2B463A29" w:rsidR="00FF0430" w:rsidRDefault="00FF0430" w:rsidP="00FF0430">
      <w:pPr>
        <w:jc w:val="center"/>
        <w:rPr>
          <w:rFonts w:cstheme="minorHAnsi"/>
        </w:rPr>
      </w:pPr>
      <w:r w:rsidRPr="00FF0430">
        <w:rPr>
          <w:rFonts w:cstheme="minorHAnsi"/>
          <w:noProof/>
          <w:bdr w:val="single" w:sz="12" w:space="0" w:color="auto"/>
        </w:rPr>
        <w:drawing>
          <wp:inline distT="0" distB="0" distL="0" distR="0" wp14:anchorId="4032135B" wp14:editId="51A68557">
            <wp:extent cx="4896000" cy="25848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25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909E0" w14:textId="77777777" w:rsidR="00D03189" w:rsidRDefault="00D03189">
      <w:pPr>
        <w:rPr>
          <w:rFonts w:cstheme="minorHAnsi"/>
        </w:rPr>
      </w:pPr>
    </w:p>
    <w:p w14:paraId="28928CAE" w14:textId="1F8BAFA6" w:rsidR="000A207B" w:rsidRDefault="00FF0430">
      <w:pPr>
        <w:rPr>
          <w:rFonts w:cstheme="minorHAnsi"/>
        </w:rPr>
      </w:pPr>
      <w:r>
        <w:rPr>
          <w:rFonts w:cstheme="minorHAnsi"/>
        </w:rPr>
        <w:t>Esplicitando</w:t>
      </w:r>
      <w:r w:rsidR="00582B90">
        <w:rPr>
          <w:rFonts w:cstheme="minorHAnsi"/>
        </w:rPr>
        <w:t>, questi</w:t>
      </w:r>
      <w:r>
        <w:rPr>
          <w:rFonts w:cstheme="minorHAnsi"/>
        </w:rPr>
        <w:t xml:space="preserve"> i dettagli perdite delle</w:t>
      </w:r>
      <w:r w:rsidR="001A36CA">
        <w:rPr>
          <w:rFonts w:cstheme="minorHAnsi"/>
        </w:rPr>
        <w:t xml:space="preserve"> singole</w:t>
      </w:r>
      <w:r>
        <w:rPr>
          <w:rFonts w:cstheme="minorHAnsi"/>
        </w:rPr>
        <w:t xml:space="preserve"> regioni</w:t>
      </w:r>
      <w:r w:rsidR="00B318D0">
        <w:rPr>
          <w:rFonts w:cstheme="minorHAnsi"/>
        </w:rPr>
        <w:t>, così come riportate nell’immagine</w:t>
      </w:r>
      <w:r>
        <w:rPr>
          <w:rFonts w:cstheme="minorHAnsi"/>
        </w:rPr>
        <w:t>:</w:t>
      </w:r>
    </w:p>
    <w:p w14:paraId="3B964817" w14:textId="1367B215" w:rsidR="00FF0430" w:rsidRDefault="00FF043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>Europa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92 miliardi</w:t>
      </w:r>
    </w:p>
    <w:p w14:paraId="50521F85" w14:textId="1F6DA062" w:rsidR="00FF0430" w:rsidRDefault="00FF043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>Asia Pacifico</w:t>
      </w:r>
      <w:r>
        <w:rPr>
          <w:rFonts w:cstheme="minorHAnsi"/>
        </w:rPr>
        <w:tab/>
        <w:t xml:space="preserve"> 89 miliardi</w:t>
      </w:r>
    </w:p>
    <w:p w14:paraId="7CFDFFD3" w14:textId="4BAE82C7" w:rsidR="00FF0430" w:rsidRDefault="00FF043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>Nord America</w:t>
      </w:r>
      <w:r>
        <w:rPr>
          <w:rFonts w:cstheme="minorHAnsi"/>
        </w:rPr>
        <w:tab/>
        <w:t xml:space="preserve"> 32 miliardi</w:t>
      </w:r>
    </w:p>
    <w:p w14:paraId="1D6FDD7C" w14:textId="00DBE875" w:rsidR="00FF0430" w:rsidRDefault="00FF043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>Medio Oriente</w:t>
      </w:r>
      <w:r>
        <w:rPr>
          <w:rFonts w:cstheme="minorHAnsi"/>
        </w:rPr>
        <w:tab/>
        <w:t xml:space="preserve"> 21 miliardi</w:t>
      </w:r>
    </w:p>
    <w:p w14:paraId="1B68920A" w14:textId="2554FAE5" w:rsidR="00FF0430" w:rsidRDefault="00FF043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>America Latina   17 miliardi</w:t>
      </w:r>
    </w:p>
    <w:p w14:paraId="0CACCE22" w14:textId="314012C2" w:rsidR="00FF0430" w:rsidRDefault="00FF043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Africa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12 miliardi</w:t>
      </w:r>
    </w:p>
    <w:p w14:paraId="021C7AD1" w14:textId="19A04B57" w:rsidR="00B318D0" w:rsidRDefault="00B318D0" w:rsidP="00B318D0">
      <w:pPr>
        <w:spacing w:after="0" w:line="240" w:lineRule="auto"/>
        <w:rPr>
          <w:rFonts w:cstheme="minorHAnsi"/>
        </w:rPr>
      </w:pPr>
    </w:p>
    <w:p w14:paraId="357710EA" w14:textId="19F1442D" w:rsidR="00B318D0" w:rsidRDefault="00B318D0" w:rsidP="00B318D0">
      <w:pPr>
        <w:spacing w:after="0" w:line="240" w:lineRule="auto"/>
        <w:rPr>
          <w:rFonts w:cstheme="minorHAnsi"/>
        </w:rPr>
      </w:pPr>
      <w:r>
        <w:rPr>
          <w:rFonts w:cstheme="minorHAnsi"/>
        </w:rPr>
        <w:t>La spiegazione del primo posto della regione eur</w:t>
      </w:r>
      <w:r w:rsidR="00D03189">
        <w:rPr>
          <w:rFonts w:cstheme="minorHAnsi"/>
        </w:rPr>
        <w:t>o</w:t>
      </w:r>
      <w:r>
        <w:rPr>
          <w:rFonts w:cstheme="minorHAnsi"/>
        </w:rPr>
        <w:t xml:space="preserve">pea </w:t>
      </w:r>
      <w:r w:rsidR="00D03189">
        <w:rPr>
          <w:rFonts w:cstheme="minorHAnsi"/>
        </w:rPr>
        <w:t>viene fornita dal successivo</w:t>
      </w:r>
      <w:r>
        <w:rPr>
          <w:rFonts w:cstheme="minorHAnsi"/>
        </w:rPr>
        <w:t xml:space="preserve"> grafico</w:t>
      </w:r>
      <w:r w:rsidR="00D03189">
        <w:rPr>
          <w:rFonts w:cstheme="minorHAnsi"/>
        </w:rPr>
        <w:t xml:space="preserve"> ove appare che l’Europa era</w:t>
      </w:r>
      <w:r w:rsidR="00BC36EF">
        <w:rPr>
          <w:rFonts w:cstheme="minorHAnsi"/>
        </w:rPr>
        <w:t xml:space="preserve"> (e rimane tuttora)</w:t>
      </w:r>
      <w:r w:rsidR="00D03189">
        <w:rPr>
          <w:rFonts w:cstheme="minorHAnsi"/>
        </w:rPr>
        <w:t xml:space="preserve"> la regione con il più alto numero di passeggeri internazionali, 890 milioni, contro 517 dell’Asia</w:t>
      </w:r>
      <w:r w:rsidR="00BC36EF">
        <w:rPr>
          <w:rFonts w:cstheme="minorHAnsi"/>
        </w:rPr>
        <w:t>-</w:t>
      </w:r>
      <w:r w:rsidR="00D03189">
        <w:rPr>
          <w:rFonts w:cstheme="minorHAnsi"/>
        </w:rPr>
        <w:t>Pacifico e i 168 del Nord America.</w:t>
      </w:r>
    </w:p>
    <w:p w14:paraId="54854DB6" w14:textId="77777777" w:rsidR="00B318D0" w:rsidRDefault="00B318D0" w:rsidP="00B318D0">
      <w:pPr>
        <w:spacing w:after="0" w:line="240" w:lineRule="auto"/>
        <w:rPr>
          <w:rFonts w:cstheme="minorHAnsi"/>
        </w:rPr>
      </w:pPr>
    </w:p>
    <w:p w14:paraId="777616B7" w14:textId="56DE79C0" w:rsidR="00B318D0" w:rsidRDefault="00B318D0" w:rsidP="00B318D0">
      <w:pPr>
        <w:jc w:val="center"/>
        <w:rPr>
          <w:rFonts w:cstheme="minorHAnsi"/>
        </w:rPr>
      </w:pPr>
      <w:r w:rsidRPr="00B318D0">
        <w:rPr>
          <w:rFonts w:cstheme="minorHAnsi"/>
          <w:noProof/>
          <w:bdr w:val="single" w:sz="12" w:space="0" w:color="auto"/>
        </w:rPr>
        <w:lastRenderedPageBreak/>
        <w:drawing>
          <wp:inline distT="0" distB="0" distL="0" distR="0" wp14:anchorId="2FF18C20" wp14:editId="43B5D36E">
            <wp:extent cx="5032800" cy="2660400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2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7079B" w14:textId="77777777" w:rsidR="00B318D0" w:rsidRDefault="00B318D0">
      <w:pPr>
        <w:rPr>
          <w:rFonts w:cstheme="minorHAnsi"/>
        </w:rPr>
      </w:pPr>
    </w:p>
    <w:p w14:paraId="399C4DAE" w14:textId="25C1CC1A" w:rsidR="00FF0430" w:rsidRDefault="00FF0430">
      <w:pPr>
        <w:rPr>
          <w:rFonts w:cstheme="minorHAnsi"/>
        </w:rPr>
      </w:pPr>
      <w:r>
        <w:rPr>
          <w:rFonts w:cstheme="minorHAnsi"/>
        </w:rPr>
        <w:t>I numeri vengono ovviamente presentati come “estimated” in quanto siamo ancora troppo vicini</w:t>
      </w:r>
      <w:r w:rsidR="00F23272">
        <w:rPr>
          <w:rFonts w:cstheme="minorHAnsi"/>
        </w:rPr>
        <w:t xml:space="preserve"> al 31/12 per </w:t>
      </w:r>
      <w:r w:rsidR="0061334E">
        <w:rPr>
          <w:rFonts w:cstheme="minorHAnsi"/>
        </w:rPr>
        <w:t>disporre</w:t>
      </w:r>
      <w:r w:rsidR="00F23272">
        <w:rPr>
          <w:rFonts w:cstheme="minorHAnsi"/>
        </w:rPr>
        <w:t xml:space="preserve"> </w:t>
      </w:r>
      <w:r w:rsidR="0061334E">
        <w:rPr>
          <w:rFonts w:cstheme="minorHAnsi"/>
        </w:rPr>
        <w:t>de</w:t>
      </w:r>
      <w:r w:rsidR="00F23272">
        <w:rPr>
          <w:rFonts w:cstheme="minorHAnsi"/>
        </w:rPr>
        <w:t xml:space="preserve">i risultati </w:t>
      </w:r>
      <w:r w:rsidR="001A36CA">
        <w:rPr>
          <w:rFonts w:cstheme="minorHAnsi"/>
        </w:rPr>
        <w:t xml:space="preserve">finali </w:t>
      </w:r>
      <w:r w:rsidR="00F23272">
        <w:rPr>
          <w:rFonts w:cstheme="minorHAnsi"/>
        </w:rPr>
        <w:t>del 2020</w:t>
      </w:r>
      <w:r w:rsidR="00B318D0">
        <w:rPr>
          <w:rFonts w:cstheme="minorHAnsi"/>
        </w:rPr>
        <w:t>, ma nessuno nutre dubbi sul fatto che alla fine</w:t>
      </w:r>
      <w:r w:rsidR="00D03189">
        <w:rPr>
          <w:rFonts w:cstheme="minorHAnsi"/>
        </w:rPr>
        <w:t>,</w:t>
      </w:r>
      <w:r w:rsidR="00B318D0">
        <w:rPr>
          <w:rFonts w:cstheme="minorHAnsi"/>
        </w:rPr>
        <w:t xml:space="preserve"> pur con qualche scostamento</w:t>
      </w:r>
      <w:r w:rsidR="00D03189">
        <w:rPr>
          <w:rFonts w:cstheme="minorHAnsi"/>
        </w:rPr>
        <w:t>,</w:t>
      </w:r>
      <w:r w:rsidR="00B318D0">
        <w:rPr>
          <w:rFonts w:cstheme="minorHAnsi"/>
        </w:rPr>
        <w:t xml:space="preserve"> le cifre  mostreranno </w:t>
      </w:r>
      <w:r w:rsidR="001A36CA">
        <w:rPr>
          <w:rFonts w:cstheme="minorHAnsi"/>
        </w:rPr>
        <w:t>una</w:t>
      </w:r>
      <w:r w:rsidR="00B318D0">
        <w:rPr>
          <w:rFonts w:cstheme="minorHAnsi"/>
        </w:rPr>
        <w:t xml:space="preserve"> cr</w:t>
      </w:r>
      <w:r w:rsidR="00BC36EF">
        <w:rPr>
          <w:rFonts w:cstheme="minorHAnsi"/>
        </w:rPr>
        <w:t>itica</w:t>
      </w:r>
      <w:r w:rsidR="00B318D0">
        <w:rPr>
          <w:rFonts w:cstheme="minorHAnsi"/>
        </w:rPr>
        <w:t xml:space="preserve"> realtà.</w:t>
      </w:r>
      <w:r w:rsidR="001A36CA">
        <w:rPr>
          <w:rFonts w:cstheme="minorHAnsi"/>
        </w:rPr>
        <w:t xml:space="preserve"> L’ICAO avverte che le perdite hanno ormai superato quelle provocate dalla SARS 2003.</w:t>
      </w:r>
    </w:p>
    <w:p w14:paraId="10BF95BF" w14:textId="0B7AB1ED" w:rsidR="00F35979" w:rsidRDefault="00F35979">
      <w:pPr>
        <w:rPr>
          <w:rFonts w:cstheme="minorHAnsi"/>
        </w:rPr>
      </w:pPr>
      <w:r>
        <w:rPr>
          <w:rFonts w:cstheme="minorHAnsi"/>
        </w:rPr>
        <w:t>Le pagine del</w:t>
      </w:r>
      <w:r w:rsidR="00BC36EF">
        <w:rPr>
          <w:rFonts w:cstheme="minorHAnsi"/>
        </w:rPr>
        <w:t>la presentazione</w:t>
      </w:r>
      <w:r>
        <w:rPr>
          <w:rFonts w:cstheme="minorHAnsi"/>
        </w:rPr>
        <w:t xml:space="preserve"> ICAO </w:t>
      </w:r>
      <w:r w:rsidRPr="001A36CA">
        <w:rPr>
          <w:rFonts w:cstheme="minorHAnsi"/>
          <w:color w:val="FF0000"/>
          <w:sz w:val="18"/>
          <w:szCs w:val="18"/>
        </w:rPr>
        <w:t>(1)</w:t>
      </w:r>
      <w:r w:rsidRPr="001A36CA">
        <w:rPr>
          <w:rFonts w:cstheme="minorHAnsi"/>
          <w:color w:val="FF0000"/>
        </w:rPr>
        <w:t xml:space="preserve"> </w:t>
      </w:r>
      <w:r>
        <w:rPr>
          <w:rFonts w:cstheme="minorHAnsi"/>
        </w:rPr>
        <w:t>che scior</w:t>
      </w:r>
      <w:r w:rsidR="001A36CA">
        <w:rPr>
          <w:rFonts w:cstheme="minorHAnsi"/>
        </w:rPr>
        <w:t>i</w:t>
      </w:r>
      <w:r>
        <w:rPr>
          <w:rFonts w:cstheme="minorHAnsi"/>
        </w:rPr>
        <w:t>na</w:t>
      </w:r>
      <w:r w:rsidR="001A36CA">
        <w:rPr>
          <w:rFonts w:cstheme="minorHAnsi"/>
        </w:rPr>
        <w:t>n</w:t>
      </w:r>
      <w:r>
        <w:rPr>
          <w:rFonts w:cstheme="minorHAnsi"/>
        </w:rPr>
        <w:t>o i numeri sono ben 173 e una delle ultime mostra la situazione sui posti di lavoro del settore viaggi e turismo. La</w:t>
      </w:r>
      <w:r w:rsidR="001A36CA">
        <w:rPr>
          <w:rFonts w:cstheme="minorHAnsi"/>
        </w:rPr>
        <w:t xml:space="preserve"> sottostante</w:t>
      </w:r>
      <w:r>
        <w:rPr>
          <w:rFonts w:cstheme="minorHAnsi"/>
        </w:rPr>
        <w:t xml:space="preserve"> tabella evidenzia tre possibili scenari (“Base line, Best case e Worst case</w:t>
      </w:r>
      <w:r w:rsidR="001A36CA">
        <w:rPr>
          <w:rFonts w:cstheme="minorHAnsi"/>
        </w:rPr>
        <w:t>”</w:t>
      </w:r>
      <w:r>
        <w:rPr>
          <w:rFonts w:cstheme="minorHAnsi"/>
        </w:rPr>
        <w:t>)</w:t>
      </w:r>
      <w:r w:rsidR="001A36CA">
        <w:rPr>
          <w:rFonts w:cstheme="minorHAnsi"/>
        </w:rPr>
        <w:t xml:space="preserve"> e in Europa</w:t>
      </w:r>
      <w:r w:rsidR="00BC36EF">
        <w:rPr>
          <w:rFonts w:cstheme="minorHAnsi"/>
        </w:rPr>
        <w:t>, come si può osservare,</w:t>
      </w:r>
      <w:r w:rsidR="001A36CA">
        <w:rPr>
          <w:rFonts w:cstheme="minorHAnsi"/>
        </w:rPr>
        <w:t xml:space="preserve"> la perdita</w:t>
      </w:r>
      <w:r w:rsidR="0061334E">
        <w:rPr>
          <w:rFonts w:cstheme="minorHAnsi"/>
        </w:rPr>
        <w:t xml:space="preserve"> stimata</w:t>
      </w:r>
      <w:r w:rsidR="001A36CA">
        <w:rPr>
          <w:rFonts w:cstheme="minorHAnsi"/>
        </w:rPr>
        <w:t xml:space="preserve"> dei posti di lavoro oscilla dai 14 ai 29 milioni.</w:t>
      </w:r>
    </w:p>
    <w:p w14:paraId="7C8FFF9E" w14:textId="430D1D02" w:rsidR="00F35979" w:rsidRDefault="00F35979" w:rsidP="00F35979">
      <w:pPr>
        <w:jc w:val="center"/>
        <w:rPr>
          <w:rFonts w:cstheme="minorHAnsi"/>
        </w:rPr>
      </w:pPr>
      <w:r w:rsidRPr="00F35979">
        <w:rPr>
          <w:rFonts w:cstheme="minorHAnsi"/>
          <w:noProof/>
          <w:bdr w:val="single" w:sz="12" w:space="0" w:color="auto"/>
        </w:rPr>
        <w:drawing>
          <wp:inline distT="0" distB="0" distL="0" distR="0" wp14:anchorId="691EA8E5" wp14:editId="31B3CE93">
            <wp:extent cx="5691600" cy="2869200"/>
            <wp:effectExtent l="0" t="0" r="444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600" cy="28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5806" w14:textId="77777777" w:rsidR="00FF0430" w:rsidRDefault="00FF0430">
      <w:pPr>
        <w:rPr>
          <w:rFonts w:cstheme="minorHAnsi"/>
        </w:rPr>
      </w:pPr>
    </w:p>
    <w:p w14:paraId="55AA0032" w14:textId="2D394203" w:rsidR="00575652" w:rsidRDefault="000C0E3F">
      <w:pPr>
        <w:rPr>
          <w:rFonts w:cstheme="minorHAnsi"/>
          <w:shd w:val="clear" w:color="auto" w:fill="FFFFFF"/>
        </w:rPr>
      </w:pPr>
      <w:r w:rsidRPr="000C0E3F">
        <w:rPr>
          <w:rFonts w:cstheme="minorHAnsi"/>
        </w:rPr>
        <w:t xml:space="preserve">Serge Latouche </w:t>
      </w:r>
      <w:r w:rsidRPr="000C0E3F">
        <w:rPr>
          <w:rFonts w:cstheme="minorHAnsi"/>
          <w:shd w:val="clear" w:color="auto" w:fill="FFFFFF"/>
        </w:rPr>
        <w:t>professore emerito di Scienze economiche all'</w:t>
      </w:r>
      <w:hyperlink r:id="rId9" w:tooltip="Università di Parigi" w:history="1">
        <w:r w:rsidRPr="000C0E3F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Università di Parig</w:t>
        </w:r>
      </w:hyperlink>
      <w:r w:rsidRPr="000C0E3F">
        <w:rPr>
          <w:rFonts w:cstheme="minorHAnsi"/>
        </w:rPr>
        <w:t>i</w:t>
      </w:r>
      <w:r w:rsidR="0061334E">
        <w:rPr>
          <w:rFonts w:cstheme="minorHAnsi"/>
        </w:rPr>
        <w:t>,</w:t>
      </w:r>
      <w:r w:rsidRPr="000C0E3F">
        <w:rPr>
          <w:rFonts w:cstheme="minorHAnsi"/>
        </w:rPr>
        <w:t xml:space="preserve"> </w:t>
      </w:r>
      <w:r w:rsidRPr="000C0E3F">
        <w:rPr>
          <w:rFonts w:cstheme="minorHAnsi"/>
          <w:shd w:val="clear" w:color="auto" w:fill="FFFFFF"/>
        </w:rPr>
        <w:t>sostenitore della </w:t>
      </w:r>
      <w:hyperlink r:id="rId10" w:tooltip="Decrescita" w:history="1">
        <w:r w:rsidRPr="000C0E3F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decrescita</w:t>
        </w:r>
      </w:hyperlink>
      <w:r>
        <w:rPr>
          <w:rFonts w:cstheme="minorHAnsi"/>
          <w:shd w:val="clear" w:color="auto" w:fill="FFFFFF"/>
          <w:vertAlign w:val="superscript"/>
        </w:rPr>
        <w:t xml:space="preserve">, </w:t>
      </w:r>
      <w:r w:rsidRPr="000C0E3F">
        <w:rPr>
          <w:rFonts w:cstheme="minorHAnsi"/>
          <w:shd w:val="clear" w:color="auto" w:fill="FFFFFF"/>
        </w:rPr>
        <w:t>conviviale e del </w:t>
      </w:r>
      <w:hyperlink r:id="rId11" w:tooltip="Localismo" w:history="1">
        <w:r w:rsidRPr="000C0E3F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localismo</w:t>
        </w:r>
      </w:hyperlink>
      <w:r w:rsidR="001A36CA">
        <w:rPr>
          <w:rStyle w:val="Collegamentoipertestuale"/>
          <w:rFonts w:cstheme="minorHAnsi"/>
          <w:color w:val="auto"/>
          <w:u w:val="none"/>
          <w:shd w:val="clear" w:color="auto" w:fill="FFFFFF"/>
        </w:rPr>
        <w:t>, osservando</w:t>
      </w:r>
      <w:r>
        <w:rPr>
          <w:rFonts w:cstheme="minorHAnsi"/>
          <w:shd w:val="clear" w:color="auto" w:fill="FFFFFF"/>
        </w:rPr>
        <w:t xml:space="preserve"> quanto </w:t>
      </w:r>
      <w:r w:rsidR="00BC36EF">
        <w:rPr>
          <w:rFonts w:cstheme="minorHAnsi"/>
          <w:shd w:val="clear" w:color="auto" w:fill="FFFFFF"/>
        </w:rPr>
        <w:t>sta accadendo nel mondo</w:t>
      </w:r>
      <w:r>
        <w:rPr>
          <w:rFonts w:cstheme="minorHAnsi"/>
          <w:shd w:val="clear" w:color="auto" w:fill="FFFFFF"/>
        </w:rPr>
        <w:t xml:space="preserve"> potrebbe ritenersi ben lieto</w:t>
      </w:r>
      <w:r w:rsidR="001A36CA">
        <w:rPr>
          <w:rFonts w:cstheme="minorHAnsi"/>
          <w:shd w:val="clear" w:color="auto" w:fill="FFFFFF"/>
        </w:rPr>
        <w:t xml:space="preserve"> in quanto molti dei suoi dubbi di</w:t>
      </w:r>
      <w:r w:rsidR="0061334E">
        <w:rPr>
          <w:rFonts w:cstheme="minorHAnsi"/>
          <w:shd w:val="clear" w:color="auto" w:fill="FFFFFF"/>
        </w:rPr>
        <w:t xml:space="preserve"> </w:t>
      </w:r>
      <w:r w:rsidR="001A36CA">
        <w:rPr>
          <w:rFonts w:cstheme="minorHAnsi"/>
          <w:shd w:val="clear" w:color="auto" w:fill="FFFFFF"/>
        </w:rPr>
        <w:t>fronte all’utopia di una crescita sfrenata senza limiti stanno trovan</w:t>
      </w:r>
      <w:r w:rsidR="0061334E">
        <w:rPr>
          <w:rFonts w:cstheme="minorHAnsi"/>
          <w:shd w:val="clear" w:color="auto" w:fill="FFFFFF"/>
        </w:rPr>
        <w:t>d</w:t>
      </w:r>
      <w:r w:rsidR="001A36CA">
        <w:rPr>
          <w:rFonts w:cstheme="minorHAnsi"/>
          <w:shd w:val="clear" w:color="auto" w:fill="FFFFFF"/>
        </w:rPr>
        <w:t>o conferma.</w:t>
      </w:r>
      <w:r w:rsidR="0061334E">
        <w:rPr>
          <w:rFonts w:cstheme="minorHAnsi"/>
          <w:shd w:val="clear" w:color="auto" w:fill="FFFFFF"/>
        </w:rPr>
        <w:t xml:space="preserve"> </w:t>
      </w:r>
      <w:r w:rsidR="0061334E" w:rsidRPr="0061334E">
        <w:rPr>
          <w:rFonts w:cstheme="minorHAnsi"/>
          <w:color w:val="FF0000"/>
          <w:sz w:val="18"/>
          <w:szCs w:val="18"/>
          <w:shd w:val="clear" w:color="auto" w:fill="FFFFFF"/>
        </w:rPr>
        <w:t>(2)</w:t>
      </w:r>
    </w:p>
    <w:p w14:paraId="63AB1D6D" w14:textId="0E11C2B5" w:rsidR="000C0E3F" w:rsidRPr="0061334E" w:rsidRDefault="000C0E3F">
      <w:pPr>
        <w:rPr>
          <w:rFonts w:cstheme="minorHAnsi"/>
          <w:i/>
          <w:iCs/>
          <w:shd w:val="clear" w:color="auto" w:fill="FFFFFF"/>
        </w:rPr>
      </w:pPr>
      <w:r w:rsidRPr="0061334E">
        <w:rPr>
          <w:rFonts w:cstheme="minorHAnsi"/>
          <w:i/>
          <w:iCs/>
          <w:shd w:val="clear" w:color="auto" w:fill="FFFFFF"/>
        </w:rPr>
        <w:lastRenderedPageBreak/>
        <w:t>“La globalizzazione è stata per il capitalismo tappa decisiva sulla strada della scomparsa di ogni limite. Infatti permette di investire e disinvestire dove si vuole e quando si vuole in spregio degli uomini e della biosfera.”</w:t>
      </w:r>
      <w:r w:rsidR="001A36CA" w:rsidRPr="0061334E">
        <w:rPr>
          <w:rFonts w:cstheme="minorHAnsi"/>
          <w:i/>
          <w:iCs/>
          <w:shd w:val="clear" w:color="auto" w:fill="FFFFFF"/>
        </w:rPr>
        <w:t>…</w:t>
      </w:r>
    </w:p>
    <w:p w14:paraId="4C0A54A7" w14:textId="6801DAF4" w:rsidR="000C0E3F" w:rsidRPr="0061334E" w:rsidRDefault="000C0E3F">
      <w:pPr>
        <w:rPr>
          <w:rFonts w:cstheme="minorHAnsi"/>
          <w:i/>
          <w:iCs/>
          <w:shd w:val="clear" w:color="auto" w:fill="FFFFFF"/>
        </w:rPr>
      </w:pPr>
      <w:r w:rsidRPr="0061334E">
        <w:rPr>
          <w:rFonts w:cstheme="minorHAnsi"/>
          <w:i/>
          <w:iCs/>
          <w:shd w:val="clear" w:color="auto" w:fill="FFFFFF"/>
        </w:rPr>
        <w:t>“si tratta in particolare, grazie alla pubblicità, di convincere continu</w:t>
      </w:r>
      <w:r w:rsidR="001A36CA" w:rsidRPr="0061334E">
        <w:rPr>
          <w:rFonts w:cstheme="minorHAnsi"/>
          <w:i/>
          <w:iCs/>
          <w:shd w:val="clear" w:color="auto" w:fill="FFFFFF"/>
        </w:rPr>
        <w:t>a</w:t>
      </w:r>
      <w:r w:rsidRPr="0061334E">
        <w:rPr>
          <w:rFonts w:cstheme="minorHAnsi"/>
          <w:i/>
          <w:iCs/>
          <w:shd w:val="clear" w:color="auto" w:fill="FFFFFF"/>
        </w:rPr>
        <w:t>mente le persone a spendere non solo il denaro che hanno, ma soprattutto quello che non hanno, per comprare cose di cui non hanno bisogno”.</w:t>
      </w:r>
    </w:p>
    <w:p w14:paraId="2A39BFFF" w14:textId="12CF52A7" w:rsidR="0061334E" w:rsidRDefault="0061334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Si può essere d’accordo o meno sulle teorie di Latouche ma di certo chi pensava che la crescita, anche quella dell’aviazione commerciale, non si sarebbe mai fermata con numeri passeggeri e numeri di aerei in volo sempre in costante aumento, non viveva nella realtà di una condizione umana inscritta in un pianeta dai limiti ben misurabili. </w:t>
      </w:r>
    </w:p>
    <w:p w14:paraId="36A29CB9" w14:textId="0D4519D3" w:rsidR="00272577" w:rsidRDefault="0027257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Consoliamoci quindi con le previsioni, i forecast, gli outlook.</w:t>
      </w:r>
    </w:p>
    <w:p w14:paraId="39392250" w14:textId="712B227B" w:rsidR="000C0E3F" w:rsidRPr="00272577" w:rsidRDefault="000C0E3F" w:rsidP="000C0E3F">
      <w:pPr>
        <w:pStyle w:val="NormaleWeb"/>
        <w:shd w:val="clear" w:color="auto" w:fill="FFFFFF"/>
        <w:spacing w:before="0" w:beforeAutospacing="0" w:after="225" w:afterAutospacing="0" w:line="300" w:lineRule="atLeast"/>
        <w:rPr>
          <w:rStyle w:val="jlqj4b"/>
          <w:rFonts w:asciiTheme="minorHAnsi" w:hAnsiTheme="minorHAnsi" w:cstheme="minorHAnsi"/>
          <w:sz w:val="22"/>
          <w:szCs w:val="22"/>
        </w:rPr>
      </w:pPr>
      <w:r w:rsidRPr="00272577">
        <w:rPr>
          <w:rStyle w:val="jlqj4b"/>
          <w:rFonts w:asciiTheme="minorHAnsi" w:hAnsiTheme="minorHAnsi" w:cstheme="minorHAnsi"/>
          <w:sz w:val="22"/>
          <w:szCs w:val="22"/>
        </w:rPr>
        <w:t xml:space="preserve">L’Icao </w:t>
      </w:r>
      <w:r w:rsidR="00272577">
        <w:rPr>
          <w:rStyle w:val="jlqj4b"/>
          <w:rFonts w:asciiTheme="minorHAnsi" w:hAnsiTheme="minorHAnsi" w:cstheme="minorHAnsi"/>
          <w:sz w:val="22"/>
          <w:szCs w:val="22"/>
        </w:rPr>
        <w:t>prevede ancora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 xml:space="preserve"> un calo della domanda prolungato per </w:t>
      </w:r>
      <w:r w:rsidR="00272577">
        <w:rPr>
          <w:rStyle w:val="jlqj4b"/>
          <w:rFonts w:asciiTheme="minorHAnsi" w:hAnsiTheme="minorHAnsi" w:cstheme="minorHAnsi"/>
          <w:sz w:val="22"/>
          <w:szCs w:val="22"/>
        </w:rPr>
        <w:t>il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 xml:space="preserve"> primo trimestre 2021, </w:t>
      </w:r>
      <w:r w:rsidR="00272577">
        <w:rPr>
          <w:rStyle w:val="jlqj4b"/>
          <w:rFonts w:asciiTheme="minorHAnsi" w:hAnsiTheme="minorHAnsi" w:cstheme="minorHAnsi"/>
          <w:sz w:val="22"/>
          <w:szCs w:val="22"/>
        </w:rPr>
        <w:t>intravedendo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 xml:space="preserve"> spiragli di ottimismo solo verso la fine del </w:t>
      </w:r>
      <w:r w:rsidRPr="00272577">
        <w:rPr>
          <w:rStyle w:val="jlqj4b"/>
          <w:rFonts w:asciiTheme="minorHAnsi" w:hAnsiTheme="minorHAnsi" w:cstheme="minorHAnsi"/>
          <w:b/>
          <w:bCs/>
          <w:sz w:val="22"/>
          <w:szCs w:val="22"/>
        </w:rPr>
        <w:t>secondo trimestre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 xml:space="preserve"> di quest’anno, strettamente legati però all’efficacia della gestione della pandemia</w:t>
      </w:r>
      <w:r w:rsidR="00272577">
        <w:rPr>
          <w:rStyle w:val="jlqj4b"/>
          <w:rFonts w:asciiTheme="minorHAnsi" w:hAnsiTheme="minorHAnsi" w:cstheme="minorHAnsi"/>
          <w:sz w:val="22"/>
          <w:szCs w:val="22"/>
        </w:rPr>
        <w:t>,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 xml:space="preserve"> alla diffusione delle campagne di vaccinazione</w:t>
      </w:r>
      <w:r w:rsidR="00272577">
        <w:rPr>
          <w:rStyle w:val="jlqj4b"/>
          <w:rFonts w:asciiTheme="minorHAnsi" w:hAnsiTheme="minorHAnsi" w:cstheme="minorHAnsi"/>
          <w:sz w:val="22"/>
          <w:szCs w:val="22"/>
        </w:rPr>
        <w:t xml:space="preserve"> e -aggiungiamo noi- alla speranza che le varianti del ceppo influenzale riescano a venir coperte dai vaccini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>.</w:t>
      </w:r>
      <w:r w:rsidRPr="00272577">
        <w:rPr>
          <w:rFonts w:asciiTheme="minorHAnsi" w:hAnsiTheme="minorHAnsi" w:cstheme="minorHAnsi"/>
          <w:sz w:val="22"/>
          <w:szCs w:val="22"/>
        </w:rPr>
        <w:t> 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>Nello scenario più ottimistico, entro giugno del 2021 il numero di passeggeri dovrebbe tornare al 71% dei livelli del 2019 (53% per internazionali e 84% per nazionali).</w:t>
      </w:r>
      <w:r w:rsidRPr="00272577">
        <w:rPr>
          <w:rFonts w:asciiTheme="minorHAnsi" w:hAnsiTheme="minorHAnsi" w:cstheme="minorHAnsi"/>
          <w:sz w:val="22"/>
          <w:szCs w:val="22"/>
        </w:rPr>
        <w:t> </w:t>
      </w:r>
      <w:r w:rsidRPr="00272577">
        <w:rPr>
          <w:rStyle w:val="jlqj4b"/>
          <w:rFonts w:asciiTheme="minorHAnsi" w:hAnsiTheme="minorHAnsi" w:cstheme="minorHAnsi"/>
          <w:sz w:val="22"/>
          <w:szCs w:val="22"/>
        </w:rPr>
        <w:t>Uno scenario più pessimistico prevede una ripresa limitata al 49% (26% per l’estero e 66% per il domestico).</w:t>
      </w:r>
    </w:p>
    <w:p w14:paraId="45DE8505" w14:textId="04A1EBA2" w:rsidR="001A36CA" w:rsidRDefault="001A36CA" w:rsidP="000C0E3F">
      <w:pPr>
        <w:pStyle w:val="NormaleWeb"/>
        <w:shd w:val="clear" w:color="auto" w:fill="FFFFFF"/>
        <w:spacing w:before="0" w:beforeAutospacing="0" w:after="225" w:afterAutospacing="0" w:line="300" w:lineRule="atLeast"/>
        <w:rPr>
          <w:rStyle w:val="jlqj4b"/>
          <w:rFonts w:ascii="Arial" w:hAnsi="Arial" w:cs="Arial"/>
          <w:color w:val="666666"/>
          <w:sz w:val="22"/>
          <w:szCs w:val="22"/>
        </w:rPr>
      </w:pPr>
    </w:p>
    <w:p w14:paraId="52D95F05" w14:textId="3C423FE7" w:rsidR="001A36CA" w:rsidRPr="0061334E" w:rsidRDefault="001A36CA" w:rsidP="0061334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61334E">
        <w:rPr>
          <w:rFonts w:asciiTheme="minorHAnsi" w:hAnsiTheme="minorHAnsi" w:cstheme="minorHAnsi"/>
          <w:sz w:val="20"/>
          <w:szCs w:val="20"/>
          <w:lang w:val="en-GB"/>
        </w:rPr>
        <w:t>‘Economic impact analysis of Covid-19′ ; ICAO</w:t>
      </w:r>
      <w:r w:rsidR="009427A6">
        <w:rPr>
          <w:rFonts w:asciiTheme="minorHAnsi" w:hAnsiTheme="minorHAnsi" w:cstheme="minorHAnsi"/>
          <w:sz w:val="20"/>
          <w:szCs w:val="20"/>
          <w:lang w:val="en-GB"/>
        </w:rPr>
        <w:t xml:space="preserve"> 14</w:t>
      </w:r>
      <w:r w:rsidRPr="0061334E">
        <w:rPr>
          <w:rFonts w:asciiTheme="minorHAnsi" w:hAnsiTheme="minorHAnsi" w:cstheme="minorHAnsi"/>
          <w:sz w:val="20"/>
          <w:szCs w:val="20"/>
          <w:lang w:val="en-GB"/>
        </w:rPr>
        <w:t xml:space="preserve"> Gennaio 2021</w:t>
      </w:r>
      <w:r w:rsidR="009427A6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F69AE1B" w14:textId="7E102F4B" w:rsidR="0061334E" w:rsidRDefault="0061334E" w:rsidP="001A36C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  <w:sz w:val="20"/>
          <w:szCs w:val="20"/>
        </w:rPr>
      </w:pPr>
      <w:r w:rsidRPr="0061334E">
        <w:rPr>
          <w:rFonts w:asciiTheme="minorHAnsi" w:hAnsiTheme="minorHAnsi" w:cstheme="minorHAnsi"/>
          <w:sz w:val="20"/>
          <w:szCs w:val="20"/>
        </w:rPr>
        <w:t>Serge Latouche “Limite”  Bollati B</w:t>
      </w:r>
      <w:r>
        <w:rPr>
          <w:rFonts w:asciiTheme="minorHAnsi" w:hAnsiTheme="minorHAnsi" w:cstheme="minorHAnsi"/>
          <w:sz w:val="20"/>
          <w:szCs w:val="20"/>
        </w:rPr>
        <w:t>oringhieri, 2012 . Le due citazioni da noi riprese, appaiono alle pagg. 68 e 69</w:t>
      </w:r>
    </w:p>
    <w:p w14:paraId="416F1A94" w14:textId="5E5B7269" w:rsidR="0061334E" w:rsidRDefault="0061334E" w:rsidP="0061334E">
      <w:pPr>
        <w:pStyle w:val="Normale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  <w:sz w:val="20"/>
          <w:szCs w:val="20"/>
        </w:rPr>
      </w:pPr>
    </w:p>
    <w:p w14:paraId="75410D65" w14:textId="7B46D90E" w:rsidR="0061334E" w:rsidRPr="00CB66C6" w:rsidRDefault="0061334E" w:rsidP="00CB66C6">
      <w:pPr>
        <w:pStyle w:val="NormaleWeb"/>
        <w:shd w:val="clear" w:color="auto" w:fill="FFFFFF"/>
        <w:spacing w:before="0" w:beforeAutospacing="0" w:after="225" w:afterAutospacing="0" w:line="300" w:lineRule="atLeast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CB66C6">
        <w:rPr>
          <w:rFonts w:asciiTheme="minorHAnsi" w:hAnsiTheme="minorHAnsi" w:cstheme="minorHAnsi"/>
          <w:color w:val="0070C0"/>
          <w:sz w:val="20"/>
          <w:szCs w:val="20"/>
        </w:rPr>
        <w:t>www.aviation-industry-news.com</w:t>
      </w:r>
    </w:p>
    <w:p w14:paraId="275FB419" w14:textId="4CC10ADF" w:rsidR="000C0E3F" w:rsidRDefault="00CB66C6">
      <w:pPr>
        <w:rPr>
          <w:rFonts w:cstheme="minorHAnsi"/>
          <w:shd w:val="clear" w:color="auto" w:fill="FFFFFF"/>
          <w:vertAlign w:val="superscript"/>
        </w:rPr>
      </w:pPr>
      <w:r>
        <w:rPr>
          <w:rFonts w:cstheme="minorHAnsi"/>
          <w:shd w:val="clear" w:color="auto" w:fill="FFFFFF"/>
          <w:vertAlign w:val="superscript"/>
        </w:rPr>
        <w:t>19 gennaio 2021</w:t>
      </w:r>
    </w:p>
    <w:p w14:paraId="24CAE2CE" w14:textId="166BD1DB" w:rsidR="009427A6" w:rsidRDefault="009427A6">
      <w:pPr>
        <w:rPr>
          <w:rFonts w:cstheme="minorHAnsi"/>
          <w:shd w:val="clear" w:color="auto" w:fill="FFFFFF"/>
          <w:vertAlign w:val="superscript"/>
        </w:rPr>
      </w:pPr>
    </w:p>
    <w:p w14:paraId="5E1322E8" w14:textId="77777777" w:rsidR="009427A6" w:rsidRPr="002F4341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color w:val="FF0000"/>
          <w:sz w:val="20"/>
          <w:szCs w:val="20"/>
        </w:rPr>
      </w:pPr>
      <w:r w:rsidRPr="002F4341">
        <w:rPr>
          <w:rFonts w:ascii="Lucida Sans Unicode" w:hAnsi="Lucida Sans Unicode" w:cs="Lucida Sans Unicode"/>
          <w:b/>
          <w:i/>
          <w:color w:val="FF0000"/>
          <w:sz w:val="20"/>
          <w:szCs w:val="20"/>
        </w:rPr>
        <w:t xml:space="preserve">Se avete colleghi, conoscenti interessati </w:t>
      </w:r>
      <w:r w:rsidRPr="00454D0F">
        <w:rPr>
          <w:rFonts w:ascii="Lucida Sans Unicode" w:hAnsi="Lucida Sans Unicode" w:cs="Lucida Sans Unicode"/>
          <w:b/>
          <w:i/>
          <w:color w:val="FF0000"/>
          <w:sz w:val="20"/>
          <w:szCs w:val="20"/>
          <w:u w:val="single"/>
        </w:rPr>
        <w:t>alla sicurezza volo</w:t>
      </w:r>
      <w:r w:rsidRPr="002F4341">
        <w:rPr>
          <w:rFonts w:ascii="Lucida Sans Unicode" w:hAnsi="Lucida Sans Unicode" w:cs="Lucida Sans Unicode"/>
          <w:b/>
          <w:i/>
          <w:color w:val="FF0000"/>
          <w:sz w:val="20"/>
          <w:szCs w:val="20"/>
        </w:rPr>
        <w:t>, fateli iscrivere alla nostra Newsletter.</w:t>
      </w:r>
    </w:p>
    <w:p w14:paraId="1F2F0EC0" w14:textId="77777777" w:rsidR="009427A6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sz w:val="16"/>
          <w:szCs w:val="16"/>
        </w:rPr>
      </w:pPr>
      <w:r>
        <w:rPr>
          <w:rFonts w:ascii="Lucida Sans Unicode" w:hAnsi="Lucida Sans Unicode" w:cs="Lucida Sans Unicode"/>
          <w:b/>
          <w:i/>
          <w:sz w:val="16"/>
          <w:szCs w:val="16"/>
        </w:rPr>
        <w:t>Tre semplici passaggi:</w:t>
      </w:r>
    </w:p>
    <w:p w14:paraId="6B55A7E0" w14:textId="77777777" w:rsidR="009427A6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>①</w:t>
      </w:r>
      <w:r>
        <w:rPr>
          <w:rFonts w:ascii="Lucida Sans Unicode" w:hAnsi="Lucida Sans Unicode" w:cs="Lucida Sans Unicode"/>
          <w:b/>
          <w:i/>
          <w:sz w:val="16"/>
          <w:szCs w:val="16"/>
        </w:rPr>
        <w:t xml:space="preserve"> Andate sul sito </w:t>
      </w:r>
      <w:hyperlink r:id="rId12" w:history="1">
        <w:r w:rsidRPr="001A4AFA">
          <w:rPr>
            <w:rStyle w:val="Collegamentoipertestuale"/>
            <w:rFonts w:ascii="Lucida Sans Unicode" w:hAnsi="Lucida Sans Unicode" w:cs="Lucida Sans Unicode"/>
            <w:b/>
            <w:i/>
            <w:sz w:val="16"/>
            <w:szCs w:val="16"/>
          </w:rPr>
          <w:t>www.air-accidents.com</w:t>
        </w:r>
      </w:hyperlink>
    </w:p>
    <w:p w14:paraId="50162B31" w14:textId="77777777" w:rsidR="009427A6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>②</w:t>
      </w:r>
      <w:r>
        <w:rPr>
          <w:rFonts w:ascii="Lucida Sans Unicode" w:hAnsi="Lucida Sans Unicode" w:cs="Lucida Sans Unicode"/>
          <w:b/>
          <w:i/>
          <w:sz w:val="16"/>
          <w:szCs w:val="16"/>
        </w:rPr>
        <w:t xml:space="preserve"> Cliccate in alto a destra su “Contacts”</w:t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</w:p>
    <w:p w14:paraId="7D83E983" w14:textId="77777777" w:rsidR="009427A6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sz w:val="16"/>
          <w:szCs w:val="16"/>
        </w:rPr>
      </w:pPr>
      <w:r w:rsidRPr="002F4341">
        <w:rPr>
          <w:rFonts w:ascii="Calibri" w:hAnsi="Calibri" w:cs="Calibri"/>
          <w:b/>
          <w:i/>
          <w:sz w:val="16"/>
          <w:szCs w:val="16"/>
        </w:rPr>
        <w:t>③</w:t>
      </w:r>
      <w:r w:rsidRPr="002F4341">
        <w:rPr>
          <w:rFonts w:ascii="Lucida Sans Unicode" w:hAnsi="Lucida Sans Unicode" w:cs="Lucida Sans Unicode"/>
          <w:b/>
          <w:i/>
          <w:sz w:val="16"/>
          <w:szCs w:val="16"/>
        </w:rPr>
        <w:t xml:space="preserve"> Entrate in “Newsletter Subscr</w:t>
      </w:r>
      <w:r>
        <w:rPr>
          <w:rFonts w:ascii="Lucida Sans Unicode" w:hAnsi="Lucida Sans Unicode" w:cs="Lucida Sans Unicode"/>
          <w:b/>
          <w:i/>
          <w:sz w:val="16"/>
          <w:szCs w:val="16"/>
        </w:rPr>
        <w:t>i</w:t>
      </w:r>
      <w:r w:rsidRPr="002F4341">
        <w:rPr>
          <w:rFonts w:ascii="Lucida Sans Unicode" w:hAnsi="Lucida Sans Unicode" w:cs="Lucida Sans Unicode"/>
          <w:b/>
          <w:i/>
          <w:sz w:val="16"/>
          <w:szCs w:val="16"/>
        </w:rPr>
        <w:t>ption Request” e fornite la e</w:t>
      </w:r>
      <w:r>
        <w:rPr>
          <w:rFonts w:ascii="Lucida Sans Unicode" w:hAnsi="Lucida Sans Unicode" w:cs="Lucida Sans Unicode"/>
          <w:b/>
          <w:i/>
          <w:sz w:val="16"/>
          <w:szCs w:val="16"/>
        </w:rPr>
        <w:t>mail</w:t>
      </w:r>
    </w:p>
    <w:p w14:paraId="48A24A50" w14:textId="77777777" w:rsidR="009427A6" w:rsidRPr="00CF1DC5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color w:val="FF0000"/>
          <w:sz w:val="16"/>
          <w:szCs w:val="16"/>
        </w:rPr>
      </w:pPr>
      <w:r>
        <w:rPr>
          <w:rFonts w:ascii="Lucida Sans Unicode" w:hAnsi="Lucida Sans Unicode" w:cs="Lucida Sans Unicode"/>
          <w:b/>
          <w:i/>
          <w:color w:val="FF0000"/>
          <w:sz w:val="16"/>
          <w:szCs w:val="16"/>
        </w:rPr>
        <w:t>QUESTO E’ TUTTO</w:t>
      </w:r>
      <w:r w:rsidRPr="00CF1DC5">
        <w:rPr>
          <w:rFonts w:ascii="Lucida Sans Unicode" w:hAnsi="Lucida Sans Unicode" w:cs="Lucida Sans Unicode"/>
          <w:b/>
          <w:i/>
          <w:color w:val="FF0000"/>
          <w:sz w:val="16"/>
          <w:szCs w:val="16"/>
        </w:rPr>
        <w:t xml:space="preserve"> !  Il servizio è gratuito.  Sarete sempre informati sulla safety aeronautica.</w:t>
      </w:r>
    </w:p>
    <w:p w14:paraId="1509C57E" w14:textId="77777777" w:rsidR="009427A6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sz w:val="16"/>
          <w:szCs w:val="16"/>
        </w:rPr>
      </w:pPr>
    </w:p>
    <w:p w14:paraId="32EA31DD" w14:textId="77777777" w:rsidR="009427A6" w:rsidRPr="002F4341" w:rsidRDefault="009427A6" w:rsidP="0094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i/>
          <w:sz w:val="16"/>
          <w:szCs w:val="16"/>
        </w:rPr>
      </w:pP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sz w:val="16"/>
          <w:szCs w:val="16"/>
        </w:rPr>
        <w:tab/>
      </w:r>
      <w:r>
        <w:rPr>
          <w:rFonts w:ascii="Lucida Sans Unicode" w:hAnsi="Lucida Sans Unicode" w:cs="Lucida Sans Unicode"/>
          <w:b/>
          <w:i/>
          <w:noProof/>
          <w:sz w:val="16"/>
          <w:szCs w:val="16"/>
        </w:rPr>
        <w:drawing>
          <wp:inline distT="0" distB="0" distL="0" distR="0" wp14:anchorId="5D87C2E0" wp14:editId="3C4BF22D">
            <wp:extent cx="874800" cy="540000"/>
            <wp:effectExtent l="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E69F1" w14:textId="77777777" w:rsidR="009427A6" w:rsidRPr="0061334E" w:rsidRDefault="009427A6">
      <w:pPr>
        <w:rPr>
          <w:rFonts w:cstheme="minorHAnsi"/>
          <w:shd w:val="clear" w:color="auto" w:fill="FFFFFF"/>
          <w:vertAlign w:val="superscript"/>
        </w:rPr>
      </w:pPr>
    </w:p>
    <w:sectPr w:rsidR="009427A6" w:rsidRPr="00613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821D1"/>
    <w:multiLevelType w:val="hybridMultilevel"/>
    <w:tmpl w:val="A1DAB888"/>
    <w:lvl w:ilvl="0" w:tplc="1B528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3F"/>
    <w:rsid w:val="000A207B"/>
    <w:rsid w:val="000C0E3F"/>
    <w:rsid w:val="001A36CA"/>
    <w:rsid w:val="00272577"/>
    <w:rsid w:val="00575652"/>
    <w:rsid w:val="00582B90"/>
    <w:rsid w:val="0061334E"/>
    <w:rsid w:val="009427A6"/>
    <w:rsid w:val="00B318D0"/>
    <w:rsid w:val="00BA7ECF"/>
    <w:rsid w:val="00BC36EF"/>
    <w:rsid w:val="00CB66C6"/>
    <w:rsid w:val="00CF57BE"/>
    <w:rsid w:val="00D03189"/>
    <w:rsid w:val="00F23272"/>
    <w:rsid w:val="00F35979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ED6"/>
  <w15:chartTrackingRefBased/>
  <w15:docId w15:val="{5034EEFD-2D3C-4CCF-8039-1C68DD3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0E3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C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lqj4b">
    <w:name w:val="jlqj4b"/>
    <w:basedOn w:val="Carpredefinitoparagrafo"/>
    <w:rsid w:val="000C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ir-accid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Localismo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Decres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Universit%C3%A0_di_Pari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</cp:revision>
  <dcterms:created xsi:type="dcterms:W3CDTF">2021-01-19T16:29:00Z</dcterms:created>
  <dcterms:modified xsi:type="dcterms:W3CDTF">2021-01-19T16:29:00Z</dcterms:modified>
</cp:coreProperties>
</file>