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11" w:rsidRDefault="00026111" w:rsidP="00026111">
      <w:pPr>
        <w:jc w:val="both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2034229" cy="252000"/>
            <wp:effectExtent l="19050" t="0" r="4121" b="0"/>
            <wp:docPr id="3" name="Immagine 2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229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215" w:rsidRPr="00026111" w:rsidRDefault="00026111" w:rsidP="00026111">
      <w:pPr>
        <w:ind w:left="2124" w:firstLine="708"/>
        <w:rPr>
          <w:b/>
          <w:color w:val="00B0F0"/>
          <w:sz w:val="28"/>
          <w:szCs w:val="28"/>
        </w:rPr>
      </w:pPr>
      <w:r w:rsidRPr="00026111">
        <w:rPr>
          <w:b/>
          <w:color w:val="00B0F0"/>
          <w:sz w:val="28"/>
          <w:szCs w:val="28"/>
        </w:rPr>
        <w:t>CINA, NUMBER ONE</w:t>
      </w:r>
    </w:p>
    <w:p w:rsidR="00026111" w:rsidRPr="00026111" w:rsidRDefault="00026111" w:rsidP="00026111">
      <w:pPr>
        <w:pStyle w:val="PreformattatoHTML"/>
        <w:shd w:val="clear" w:color="auto" w:fill="FFFFFF"/>
        <w:rPr>
          <w:rFonts w:asciiTheme="minorHAnsi" w:hAnsiTheme="minorHAnsi"/>
          <w:color w:val="FF0000"/>
          <w:sz w:val="18"/>
          <w:szCs w:val="18"/>
        </w:rPr>
      </w:pPr>
      <w:r w:rsidRPr="00026111">
        <w:rPr>
          <w:rFonts w:asciiTheme="minorHAnsi" w:hAnsiTheme="minorHAnsi"/>
          <w:color w:val="212121"/>
          <w:sz w:val="24"/>
          <w:szCs w:val="24"/>
        </w:rPr>
        <w:t xml:space="preserve">Le previsioni vengono dalla </w:t>
      </w:r>
      <w:proofErr w:type="spellStart"/>
      <w:r w:rsidRPr="00026111">
        <w:rPr>
          <w:rFonts w:asciiTheme="minorHAnsi" w:hAnsiTheme="minorHAnsi"/>
          <w:color w:val="212121"/>
          <w:sz w:val="24"/>
          <w:szCs w:val="24"/>
        </w:rPr>
        <w:t>Iata</w:t>
      </w:r>
      <w:proofErr w:type="spellEnd"/>
      <w:r w:rsidRPr="00026111">
        <w:rPr>
          <w:rFonts w:asciiTheme="minorHAnsi" w:hAnsiTheme="minorHAnsi"/>
          <w:color w:val="212121"/>
          <w:sz w:val="24"/>
          <w:szCs w:val="24"/>
        </w:rPr>
        <w:t xml:space="preserve">: la Cina sostituirà gli Stati Uniti come il più grande mercato aeronautico del mondo (definito come il traffico da/per e all'interno del paese) a metà del 2020.  Il riequilibrio dell'economia cinese </w:t>
      </w:r>
      <w:r w:rsidR="00573BDE">
        <w:rPr>
          <w:rFonts w:asciiTheme="minorHAnsi" w:hAnsiTheme="minorHAnsi"/>
          <w:color w:val="212121"/>
          <w:sz w:val="24"/>
          <w:szCs w:val="24"/>
        </w:rPr>
        <w:t xml:space="preserve">favorirà </w:t>
      </w:r>
      <w:r w:rsidRPr="00026111">
        <w:rPr>
          <w:rFonts w:asciiTheme="minorHAnsi" w:hAnsiTheme="minorHAnsi"/>
          <w:color w:val="212121"/>
          <w:sz w:val="24"/>
          <w:szCs w:val="24"/>
        </w:rPr>
        <w:t xml:space="preserve">il consumo </w:t>
      </w:r>
      <w:r w:rsidR="00573BDE">
        <w:rPr>
          <w:rFonts w:asciiTheme="minorHAnsi" w:hAnsiTheme="minorHAnsi"/>
          <w:color w:val="212121"/>
          <w:sz w:val="24"/>
          <w:szCs w:val="24"/>
        </w:rPr>
        <w:t>alimentando</w:t>
      </w:r>
      <w:r w:rsidR="0060370B">
        <w:rPr>
          <w:rFonts w:asciiTheme="minorHAnsi" w:hAnsiTheme="minorHAnsi"/>
          <w:color w:val="212121"/>
          <w:sz w:val="24"/>
          <w:szCs w:val="24"/>
        </w:rPr>
        <w:t xml:space="preserve"> un</w:t>
      </w:r>
      <w:r w:rsidRPr="00026111">
        <w:rPr>
          <w:rFonts w:asciiTheme="minorHAnsi" w:hAnsiTheme="minorHAnsi"/>
          <w:color w:val="212121"/>
          <w:sz w:val="24"/>
          <w:szCs w:val="24"/>
        </w:rPr>
        <w:t>a forte domanda di passeggeri a lungo termine.</w:t>
      </w:r>
      <w:r>
        <w:rPr>
          <w:rFonts w:asciiTheme="minorHAnsi" w:hAnsiTheme="minorHAnsi"/>
          <w:color w:val="212121"/>
          <w:sz w:val="24"/>
          <w:szCs w:val="24"/>
        </w:rPr>
        <w:t xml:space="preserve"> </w:t>
      </w:r>
      <w:r w:rsidRPr="00026111">
        <w:rPr>
          <w:rFonts w:asciiTheme="minorHAnsi" w:hAnsiTheme="minorHAnsi"/>
          <w:color w:val="FF0000"/>
          <w:sz w:val="18"/>
          <w:szCs w:val="18"/>
        </w:rPr>
        <w:t>(1)</w:t>
      </w:r>
    </w:p>
    <w:p w:rsidR="00007C38" w:rsidRPr="00026111" w:rsidRDefault="005D2ADA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La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it-IT"/>
        </w:rPr>
        <w:t>Iata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faceva questa previsione ad ottobre del 2018  e da parte nostra m</w:t>
      </w:r>
      <w:r w:rsidR="00026111" w:rsidRPr="00026111">
        <w:rPr>
          <w:rFonts w:eastAsia="Times New Roman" w:cs="Courier New"/>
          <w:color w:val="212121"/>
          <w:sz w:val="24"/>
          <w:szCs w:val="24"/>
          <w:lang w:eastAsia="it-IT"/>
        </w:rPr>
        <w:t>an mano che iniziava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m</w:t>
      </w:r>
      <w:r w:rsidR="00026111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o a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raccogliere</w:t>
      </w:r>
      <w:r w:rsidR="00026111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le cifre di chiusura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 xml:space="preserve"> bilanci</w:t>
      </w:r>
      <w:r w:rsidR="00026111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dell’anno 2018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 delle compagnie aeree</w:t>
      </w:r>
      <w:r w:rsidR="00026111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appariva evidente come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026111">
        <w:rPr>
          <w:rFonts w:eastAsia="Times New Roman" w:cs="Courier New"/>
          <w:color w:val="212121"/>
          <w:sz w:val="24"/>
          <w:szCs w:val="24"/>
          <w:lang w:eastAsia="it-IT"/>
        </w:rPr>
        <w:t>a</w:t>
      </w:r>
      <w:r w:rsidR="00007C38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i vertici delle graduatorie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mondiali</w:t>
      </w:r>
      <w:r w:rsidR="00007C38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inizia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va</w:t>
      </w:r>
      <w:r w:rsidR="00007C38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no a far capolino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i </w:t>
      </w:r>
      <w:r w:rsidR="00007C38"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tre grandi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vettori </w:t>
      </w:r>
      <w:r w:rsidR="00007C38" w:rsidRPr="00026111">
        <w:rPr>
          <w:rFonts w:eastAsia="Times New Roman" w:cs="Courier New"/>
          <w:color w:val="212121"/>
          <w:sz w:val="24"/>
          <w:szCs w:val="24"/>
          <w:lang w:eastAsia="it-IT"/>
        </w:rPr>
        <w:t>della Cina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>:</w:t>
      </w:r>
    </w:p>
    <w:p w:rsidR="00007C38" w:rsidRPr="00026111" w:rsidRDefault="00007C38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6B574B">
        <w:rPr>
          <w:rFonts w:eastAsia="Times New Roman" w:cs="Courier New"/>
          <w:color w:val="212121"/>
          <w:sz w:val="24"/>
          <w:szCs w:val="24"/>
          <w:lang w:val="en-US" w:eastAsia="it-IT"/>
        </w:rPr>
        <w:t>China Southern, China Eastern e Air China</w:t>
      </w:r>
      <w:r w:rsidR="006B574B" w:rsidRPr="006B574B">
        <w:rPr>
          <w:rFonts w:eastAsia="Times New Roman" w:cs="Courier New"/>
          <w:color w:val="212121"/>
          <w:sz w:val="24"/>
          <w:szCs w:val="24"/>
          <w:lang w:val="en-US" w:eastAsia="it-IT"/>
        </w:rPr>
        <w:t xml:space="preserve">. </w:t>
      </w:r>
      <w:r w:rsidR="0060370B" w:rsidRPr="0060370B">
        <w:rPr>
          <w:rFonts w:eastAsia="Times New Roman" w:cs="Courier New"/>
          <w:color w:val="212121"/>
          <w:sz w:val="24"/>
          <w:szCs w:val="24"/>
          <w:lang w:eastAsia="it-IT"/>
        </w:rPr>
        <w:t>Le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 xml:space="preserve"> tre maggiori 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>aerolinee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 xml:space="preserve"> della Cina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hanno trasportato 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 xml:space="preserve">lo scorso 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>anno oltre 370 milioni di passeggeri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>;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5D2ADA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>c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>’è solo un’altra nazione i cui vettori possono vantare</w:t>
      </w:r>
      <w:r w:rsidR="00026111">
        <w:rPr>
          <w:rFonts w:eastAsia="Times New Roman" w:cs="Courier New"/>
          <w:color w:val="212121"/>
          <w:sz w:val="24"/>
          <w:szCs w:val="24"/>
          <w:lang w:eastAsia="it-IT"/>
        </w:rPr>
        <w:t>,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5D2ADA">
        <w:rPr>
          <w:rFonts w:eastAsia="Times New Roman" w:cs="Courier New"/>
          <w:color w:val="212121"/>
          <w:sz w:val="24"/>
          <w:szCs w:val="24"/>
          <w:lang w:eastAsia="it-IT"/>
        </w:rPr>
        <w:t xml:space="preserve">almeno </w:t>
      </w:r>
      <w:r w:rsid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per il momento, </w:t>
      </w:r>
      <w:r w:rsidR="005D2ADA">
        <w:rPr>
          <w:rFonts w:eastAsia="Times New Roman" w:cs="Courier New"/>
          <w:color w:val="212121"/>
          <w:sz w:val="24"/>
          <w:szCs w:val="24"/>
          <w:lang w:eastAsia="it-IT"/>
        </w:rPr>
        <w:t xml:space="preserve">cifre analoghe, 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gli Stati Uniti.</w:t>
      </w:r>
      <w:r w:rsidR="005D2ADA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Le tre </w:t>
      </w:r>
      <w:r w:rsidRPr="0060370B">
        <w:rPr>
          <w:rFonts w:eastAsia="Times New Roman" w:cs="Courier New"/>
          <w:i/>
          <w:color w:val="212121"/>
          <w:sz w:val="24"/>
          <w:szCs w:val="24"/>
          <w:lang w:eastAsia="it-IT"/>
        </w:rPr>
        <w:t>major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USA 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>a impronta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 internazionale hanno trasportato sempre nel 2018 oltre 561 milioni di passeggeri.</w:t>
      </w:r>
    </w:p>
    <w:p w:rsidR="00D14BEC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D14BEC" w:rsidRPr="00D14BEC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</w:pP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>AMERICAN AIRLINES</w:t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  <w:t xml:space="preserve">204 </w:t>
      </w:r>
      <w:proofErr w:type="spellStart"/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>milioni</w:t>
      </w:r>
      <w:proofErr w:type="spellEnd"/>
    </w:p>
    <w:p w:rsidR="00D14BEC" w:rsidRPr="00D14BEC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</w:pP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>DELTA</w:t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  <w:t>199</w:t>
      </w:r>
    </w:p>
    <w:p w:rsidR="00D14BEC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</w:pP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>UNITED</w:t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</w:r>
      <w:r w:rsidRPr="00D14BEC">
        <w:rPr>
          <w:rFonts w:ascii="inherit" w:eastAsia="Times New Roman" w:hAnsi="inherit" w:cs="Courier New"/>
          <w:color w:val="212121"/>
          <w:sz w:val="20"/>
          <w:szCs w:val="20"/>
          <w:lang w:val="en-US" w:eastAsia="it-IT"/>
        </w:rPr>
        <w:tab/>
        <w:t>158</w:t>
      </w:r>
    </w:p>
    <w:p w:rsidR="006B574B" w:rsidRPr="006B574B" w:rsidRDefault="006B574B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</w:pPr>
      <w:r w:rsidRPr="006B574B"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>Totale</w:t>
      </w:r>
      <w:r w:rsidRPr="006B574B"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  <w:t>561</w:t>
      </w:r>
    </w:p>
    <w:p w:rsidR="00D14BEC" w:rsidRPr="006B574B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D14BEC" w:rsidRPr="006B574B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6B574B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CHINA SOUTHERN</w:t>
      </w:r>
      <w:r w:rsidRPr="006B574B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Pr="006B574B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  <w:t>140</w:t>
      </w:r>
    </w:p>
    <w:p w:rsidR="00D14BEC" w:rsidRPr="009E698D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CHINA EASTERN</w:t>
      </w: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  <w:t>121</w:t>
      </w:r>
    </w:p>
    <w:p w:rsidR="00D14BEC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AIR CHINA</w:t>
      </w: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Pr="009E698D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  <w:t>110</w:t>
      </w:r>
    </w:p>
    <w:p w:rsidR="006B574B" w:rsidRPr="006B574B" w:rsidRDefault="006B574B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</w:pPr>
      <w:r w:rsidRPr="006B574B"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>Totale</w:t>
      </w:r>
      <w:r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b/>
          <w:i/>
          <w:color w:val="212121"/>
          <w:sz w:val="20"/>
          <w:szCs w:val="20"/>
          <w:lang w:eastAsia="it-IT"/>
        </w:rPr>
        <w:tab/>
        <w:t>371</w:t>
      </w:r>
    </w:p>
    <w:p w:rsidR="00115D92" w:rsidRPr="009E698D" w:rsidRDefault="00115D92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026111" w:rsidRDefault="00026111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Ma </w:t>
      </w:r>
      <w:r w:rsidR="006B574B">
        <w:rPr>
          <w:rFonts w:eastAsia="Times New Roman" w:cs="Courier New"/>
          <w:color w:val="212121"/>
          <w:sz w:val="24"/>
          <w:szCs w:val="24"/>
          <w:lang w:eastAsia="it-IT"/>
        </w:rPr>
        <w:t xml:space="preserve">quello che appare evidente è che, anno dopo anno, </w:t>
      </w:r>
      <w:r w:rsidRPr="00026111">
        <w:rPr>
          <w:rFonts w:eastAsia="Times New Roman" w:cs="Courier New"/>
          <w:color w:val="212121"/>
          <w:sz w:val="24"/>
          <w:szCs w:val="24"/>
          <w:lang w:eastAsia="it-IT"/>
        </w:rPr>
        <w:t xml:space="preserve">il margine fra i </w:t>
      </w:r>
      <w:r w:rsidR="00B1326F">
        <w:rPr>
          <w:rFonts w:eastAsia="Times New Roman" w:cs="Courier New"/>
          <w:color w:val="212121"/>
          <w:sz w:val="24"/>
          <w:szCs w:val="24"/>
          <w:lang w:eastAsia="it-IT"/>
        </w:rPr>
        <w:t>due mercati va assottigliandosi e il sorpasso è previsto per il 2024/2025:</w:t>
      </w:r>
    </w:p>
    <w:p w:rsidR="00B1326F" w:rsidRDefault="00B1326F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B1326F" w:rsidRPr="00026111" w:rsidRDefault="00B1326F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B1326F">
        <w:rPr>
          <w:rFonts w:eastAsia="Times New Roman" w:cs="Courier New"/>
          <w:noProof/>
          <w:color w:val="212121"/>
          <w:sz w:val="24"/>
          <w:szCs w:val="24"/>
          <w:bdr w:val="single" w:sz="12" w:space="0" w:color="auto"/>
          <w:lang w:eastAsia="it-IT"/>
        </w:rPr>
        <w:drawing>
          <wp:inline distT="0" distB="0" distL="0" distR="0">
            <wp:extent cx="5821687" cy="3708000"/>
            <wp:effectExtent l="19050" t="0" r="7613" b="0"/>
            <wp:docPr id="4" name="Immagine 0" descr="2cina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inaImmag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87" cy="37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98D" w:rsidRPr="00B1326F" w:rsidRDefault="009E698D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9E698D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lastRenderedPageBreak/>
        <w:t>Sempre nello stesso periodo a</w:t>
      </w:r>
      <w:r w:rsidRPr="006B574B">
        <w:rPr>
          <w:rFonts w:eastAsia="Times New Roman" w:cs="Courier New"/>
          <w:color w:val="212121"/>
          <w:sz w:val="24"/>
          <w:szCs w:val="24"/>
          <w:lang w:eastAsia="it-IT"/>
        </w:rPr>
        <w:t>ncor più impressionante anche il balzo che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farà l’India che passerà dal settimo posto al terzo, alle spalle di Cina e Usa. Tutti i paesi europei, secondo le previsioni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it-IT"/>
        </w:rPr>
        <w:t>Iata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s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>aranno destinati ad un progressivo declino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:</w:t>
      </w:r>
    </w:p>
    <w:p w:rsidR="0060370B" w:rsidRDefault="0060370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965B57" w:rsidRPr="00965B57" w:rsidRDefault="00965B57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16"/>
          <w:szCs w:val="16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24"/>
          <w:szCs w:val="24"/>
          <w:lang w:eastAsia="it-IT"/>
        </w:rPr>
        <w:tab/>
      </w:r>
      <w:r>
        <w:rPr>
          <w:rFonts w:eastAsia="Times New Roman" w:cs="Courier New"/>
          <w:color w:val="212121"/>
          <w:sz w:val="16"/>
          <w:szCs w:val="16"/>
          <w:lang w:eastAsia="it-IT"/>
        </w:rPr>
        <w:t>attuale</w:t>
      </w:r>
      <w:r>
        <w:rPr>
          <w:rFonts w:eastAsia="Times New Roman" w:cs="Courier New"/>
          <w:color w:val="212121"/>
          <w:sz w:val="16"/>
          <w:szCs w:val="16"/>
          <w:lang w:eastAsia="it-IT"/>
        </w:rPr>
        <w:tab/>
        <w:t>prevista</w:t>
      </w:r>
    </w:p>
    <w:p w:rsidR="00B1326F" w:rsidRPr="00965B57" w:rsidRDefault="00965B57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6"/>
          <w:szCs w:val="16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16"/>
          <w:szCs w:val="16"/>
          <w:lang w:eastAsia="it-IT"/>
        </w:rPr>
        <w:t>2017</w:t>
      </w:r>
      <w:r>
        <w:rPr>
          <w:rFonts w:ascii="inherit" w:eastAsia="Times New Roman" w:hAnsi="inherit" w:cs="Courier New"/>
          <w:color w:val="212121"/>
          <w:sz w:val="16"/>
          <w:szCs w:val="16"/>
          <w:lang w:eastAsia="it-IT"/>
        </w:rPr>
        <w:tab/>
        <w:t>2037</w:t>
      </w:r>
    </w:p>
    <w:p w:rsidR="006B574B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Regno Unito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3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5</w:t>
      </w:r>
    </w:p>
    <w:p w:rsidR="006B574B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Spagna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4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6</w:t>
      </w:r>
    </w:p>
    <w:p w:rsidR="006B574B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Germania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6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8</w:t>
      </w:r>
    </w:p>
    <w:p w:rsidR="006B574B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Italia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8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?</w:t>
      </w:r>
    </w:p>
    <w:p w:rsidR="006B574B" w:rsidRPr="006B574B" w:rsidRDefault="006B574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Francia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</w:r>
      <w:r w:rsidR="00965B57"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 xml:space="preserve">  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>9</w:t>
      </w:r>
      <w:r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  <w:tab/>
        <w:t>10</w:t>
      </w:r>
    </w:p>
    <w:p w:rsidR="00B1326F" w:rsidRPr="006B574B" w:rsidRDefault="00B1326F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B1326F" w:rsidRDefault="0060370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L’Italia uscirà dai primi dieci paesi e la tabella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it-IT"/>
        </w:rPr>
        <w:t>Iata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non permette di vedere a quale posizione </w:t>
      </w:r>
      <w:r w:rsidR="00AA7026">
        <w:rPr>
          <w:rFonts w:eastAsia="Times New Roman" w:cs="Courier New"/>
          <w:color w:val="212121"/>
          <w:sz w:val="24"/>
          <w:szCs w:val="24"/>
          <w:lang w:eastAsia="it-IT"/>
        </w:rPr>
        <w:t>si attesterà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. Il primo paese europeo dovrebbe rimanere il Regno Unito mentre anche la Germania è destinata a scendere di posizioni.</w:t>
      </w:r>
    </w:p>
    <w:p w:rsidR="0060370B" w:rsidRPr="0060370B" w:rsidRDefault="0060370B" w:rsidP="009E69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8E5B32" w:rsidRDefault="0060370B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>Sul fronte economico, i</w:t>
      </w:r>
      <w:r w:rsidR="003E2BB9" w:rsidRPr="003E2BB9">
        <w:rPr>
          <w:rFonts w:eastAsia="Times New Roman" w:cs="Courier New"/>
          <w:color w:val="212121"/>
          <w:sz w:val="24"/>
          <w:szCs w:val="24"/>
          <w:lang w:eastAsia="it-IT"/>
        </w:rPr>
        <w:t xml:space="preserve"> tre vettori cinesi</w:t>
      </w:r>
      <w:r w:rsidR="003E2BB9">
        <w:rPr>
          <w:rFonts w:eastAsia="Times New Roman" w:cs="Courier New"/>
          <w:color w:val="212121"/>
          <w:sz w:val="24"/>
          <w:szCs w:val="24"/>
          <w:lang w:eastAsia="it-IT"/>
        </w:rPr>
        <w:t xml:space="preserve"> per il momento non possono vantare utili paragonabili a quelli delle tre compagnie Usa</w:t>
      </w:r>
      <w:r w:rsidR="005566A1">
        <w:rPr>
          <w:rFonts w:eastAsia="Times New Roman" w:cs="Courier New"/>
          <w:color w:val="212121"/>
          <w:sz w:val="24"/>
          <w:szCs w:val="24"/>
          <w:lang w:eastAsia="it-IT"/>
        </w:rPr>
        <w:t>, ma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chiudono i loro bilanci</w:t>
      </w:r>
      <w:r w:rsid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pur sempre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con</w:t>
      </w:r>
      <w:r w:rsid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cifre in nero.</w:t>
      </w:r>
    </w:p>
    <w:p w:rsidR="005566A1" w:rsidRDefault="005566A1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5566A1" w:rsidRPr="00EC5C27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4"/>
          <w:szCs w:val="14"/>
        </w:rPr>
      </w:pPr>
      <w:r w:rsidRPr="00EC5C27">
        <w:rPr>
          <w:sz w:val="14"/>
          <w:szCs w:val="14"/>
        </w:rPr>
        <w:t xml:space="preserve">           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</w:t>
      </w:r>
      <w:r w:rsidRPr="00EC5C27">
        <w:rPr>
          <w:sz w:val="14"/>
          <w:szCs w:val="14"/>
        </w:rPr>
        <w:t xml:space="preserve"> </w:t>
      </w:r>
      <w:r w:rsidRPr="00EC5C27">
        <w:rPr>
          <w:b/>
          <w:sz w:val="14"/>
          <w:szCs w:val="14"/>
        </w:rPr>
        <w:t>Passeggeri</w:t>
      </w:r>
      <w:r w:rsidRPr="00EC5C27">
        <w:rPr>
          <w:b/>
          <w:sz w:val="14"/>
          <w:szCs w:val="14"/>
        </w:rPr>
        <w:tab/>
        <w:t xml:space="preserve">        </w:t>
      </w:r>
      <w:proofErr w:type="spellStart"/>
      <w:r w:rsidRPr="00EC5C27">
        <w:rPr>
          <w:b/>
          <w:sz w:val="14"/>
          <w:szCs w:val="14"/>
        </w:rPr>
        <w:t>Revenue</w:t>
      </w:r>
      <w:proofErr w:type="spellEnd"/>
      <w:r w:rsidRPr="00EC5C27">
        <w:rPr>
          <w:b/>
          <w:sz w:val="14"/>
          <w:szCs w:val="14"/>
        </w:rPr>
        <w:tab/>
        <w:t xml:space="preserve">      profitto</w:t>
      </w:r>
      <w:r w:rsidRPr="00EC5C27">
        <w:rPr>
          <w:b/>
          <w:sz w:val="14"/>
          <w:szCs w:val="14"/>
        </w:rPr>
        <w:tab/>
      </w:r>
      <w:r>
        <w:rPr>
          <w:b/>
          <w:sz w:val="14"/>
          <w:szCs w:val="14"/>
        </w:rPr>
        <w:t xml:space="preserve">             </w:t>
      </w:r>
      <w:r w:rsidRPr="00EC5C27">
        <w:rPr>
          <w:b/>
          <w:sz w:val="14"/>
          <w:szCs w:val="14"/>
        </w:rPr>
        <w:t>flotta</w:t>
      </w:r>
      <w:r w:rsidRPr="00EC5C27">
        <w:rPr>
          <w:b/>
          <w:sz w:val="14"/>
          <w:szCs w:val="14"/>
        </w:rPr>
        <w:tab/>
        <w:t xml:space="preserve">    staff</w:t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Note</w:t>
      </w:r>
    </w:p>
    <w:p w:rsidR="005566A1" w:rsidRPr="00EC5C27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4"/>
          <w:szCs w:val="14"/>
        </w:rPr>
      </w:pPr>
      <w:r w:rsidRPr="00EC5C27">
        <w:rPr>
          <w:b/>
          <w:sz w:val="14"/>
          <w:szCs w:val="14"/>
        </w:rPr>
        <w:tab/>
      </w:r>
      <w:r w:rsidRPr="00EC5C27">
        <w:rPr>
          <w:b/>
          <w:sz w:val="14"/>
          <w:szCs w:val="14"/>
        </w:rPr>
        <w:tab/>
      </w:r>
      <w:r w:rsidRPr="00EC5C27">
        <w:rPr>
          <w:b/>
          <w:sz w:val="14"/>
          <w:szCs w:val="14"/>
        </w:rPr>
        <w:tab/>
        <w:t xml:space="preserve">         (milioni/euro)       </w:t>
      </w:r>
      <w:r>
        <w:rPr>
          <w:b/>
          <w:sz w:val="14"/>
          <w:szCs w:val="14"/>
        </w:rPr>
        <w:t xml:space="preserve">  </w:t>
      </w:r>
      <w:r w:rsidRPr="00EC5C27">
        <w:rPr>
          <w:b/>
          <w:sz w:val="14"/>
          <w:szCs w:val="14"/>
        </w:rPr>
        <w:t xml:space="preserve"> (milioni/euro)</w:t>
      </w:r>
    </w:p>
    <w:p w:rsidR="005566A1" w:rsidRPr="00EC5C27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4"/>
          <w:szCs w:val="14"/>
        </w:rPr>
      </w:pPr>
    </w:p>
    <w:p w:rsidR="005566A1" w:rsidRPr="00705B89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5566A1">
        <w:rPr>
          <w:rFonts w:ascii="Courier New" w:hAnsi="Courier New" w:cs="Courier New"/>
          <w:sz w:val="16"/>
          <w:szCs w:val="16"/>
        </w:rPr>
        <w:t xml:space="preserve">AMERICAN A.  </w:t>
      </w:r>
      <w:r w:rsidRPr="00705B89">
        <w:rPr>
          <w:rFonts w:ascii="Courier New" w:hAnsi="Courier New" w:cs="Courier New"/>
          <w:sz w:val="16"/>
          <w:szCs w:val="16"/>
          <w:lang w:val="en-US"/>
        </w:rPr>
        <w:t>203.745</w:t>
      </w:r>
      <w:r w:rsidRPr="00705B89">
        <w:rPr>
          <w:rFonts w:ascii="Courier New" w:hAnsi="Courier New" w:cs="Courier New"/>
          <w:sz w:val="16"/>
          <w:szCs w:val="16"/>
          <w:lang w:val="en-US"/>
        </w:rPr>
        <w:tab/>
        <w:t xml:space="preserve">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705B89">
        <w:rPr>
          <w:rFonts w:ascii="Courier New" w:hAnsi="Courier New" w:cs="Courier New"/>
          <w:sz w:val="16"/>
          <w:szCs w:val="16"/>
          <w:lang w:val="en-US"/>
        </w:rPr>
        <w:t>39.292</w:t>
      </w:r>
      <w:r w:rsidRPr="00705B89">
        <w:rPr>
          <w:rFonts w:ascii="Courier New" w:hAnsi="Courier New" w:cs="Courier New"/>
          <w:sz w:val="16"/>
          <w:szCs w:val="16"/>
          <w:lang w:val="en-US"/>
        </w:rPr>
        <w:tab/>
        <w:t xml:space="preserve">  1.235     1551</w:t>
      </w:r>
      <w:r w:rsidRPr="00705B89">
        <w:rPr>
          <w:rFonts w:ascii="Courier New" w:hAnsi="Courier New" w:cs="Courier New"/>
          <w:sz w:val="16"/>
          <w:szCs w:val="16"/>
          <w:lang w:val="en-US"/>
        </w:rPr>
        <w:tab/>
        <w:t>122.000</w:t>
      </w:r>
      <w:r w:rsidRPr="00705B89"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" w:hAnsi="Courier New" w:cs="Courier New"/>
          <w:sz w:val="16"/>
          <w:szCs w:val="16"/>
          <w:lang w:val="en-US"/>
        </w:rPr>
        <w:tab/>
      </w:r>
      <w:proofErr w:type="spellStart"/>
      <w:r w:rsidRPr="00705B89">
        <w:rPr>
          <w:rFonts w:ascii="Courier New" w:hAnsi="Courier New" w:cs="Courier New"/>
          <w:sz w:val="16"/>
          <w:szCs w:val="16"/>
          <w:lang w:val="en-US"/>
        </w:rPr>
        <w:t>ttl</w:t>
      </w:r>
      <w:proofErr w:type="spellEnd"/>
      <w:r w:rsidRPr="00705B89">
        <w:rPr>
          <w:rFonts w:ascii="Courier New" w:hAnsi="Courier New" w:cs="Courier New"/>
          <w:sz w:val="16"/>
          <w:szCs w:val="16"/>
          <w:lang w:val="en-US"/>
        </w:rPr>
        <w:t xml:space="preserve"> </w:t>
      </w:r>
      <w:proofErr w:type="spellStart"/>
      <w:r w:rsidRPr="00705B89">
        <w:rPr>
          <w:rFonts w:ascii="Courier New" w:hAnsi="Courier New" w:cs="Courier New"/>
          <w:sz w:val="16"/>
          <w:szCs w:val="16"/>
          <w:lang w:val="en-US"/>
        </w:rPr>
        <w:t>mainline+regional</w:t>
      </w:r>
      <w:proofErr w:type="spellEnd"/>
      <w:r w:rsidRPr="00705B89">
        <w:rPr>
          <w:rFonts w:ascii="Courier New" w:hAnsi="Courier New" w:cs="Courier New"/>
          <w:sz w:val="16"/>
          <w:szCs w:val="16"/>
          <w:lang w:val="en-US"/>
        </w:rPr>
        <w:tab/>
      </w:r>
    </w:p>
    <w:p w:rsidR="005566A1" w:rsidRPr="00146D42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46D42">
        <w:rPr>
          <w:rFonts w:ascii="Courier New" w:hAnsi="Courier New" w:cs="Courier New"/>
          <w:sz w:val="16"/>
          <w:szCs w:val="16"/>
          <w:lang w:val="en-US"/>
        </w:rPr>
        <w:t>DELTA</w:t>
      </w:r>
      <w:r w:rsidRPr="00146D42">
        <w:rPr>
          <w:rFonts w:ascii="Courier New" w:hAnsi="Courier New" w:cs="Courier New"/>
          <w:sz w:val="16"/>
          <w:szCs w:val="16"/>
          <w:lang w:val="en-US"/>
        </w:rPr>
        <w:tab/>
        <w:t xml:space="preserve">      199.000</w:t>
      </w:r>
      <w:r w:rsidRPr="00146D42">
        <w:rPr>
          <w:rFonts w:ascii="Courier New" w:hAnsi="Courier New" w:cs="Courier New"/>
          <w:sz w:val="16"/>
          <w:szCs w:val="16"/>
          <w:lang w:val="en-US"/>
        </w:rPr>
        <w:tab/>
        <w:t xml:space="preserve">   39.193</w:t>
      </w:r>
      <w:r w:rsidRPr="00146D42">
        <w:rPr>
          <w:rFonts w:ascii="Courier New" w:hAnsi="Courier New" w:cs="Courier New"/>
          <w:sz w:val="16"/>
          <w:szCs w:val="16"/>
          <w:lang w:val="en-US"/>
        </w:rPr>
        <w:tab/>
        <w:t xml:space="preserve">  3.470     1025</w:t>
      </w:r>
      <w:r w:rsidRPr="00146D42">
        <w:rPr>
          <w:rFonts w:ascii="Courier New" w:hAnsi="Courier New" w:cs="Courier New"/>
          <w:sz w:val="16"/>
          <w:szCs w:val="16"/>
          <w:lang w:val="en-US"/>
        </w:rPr>
        <w:tab/>
        <w:t xml:space="preserve"> 80.000  </w:t>
      </w:r>
    </w:p>
    <w:p w:rsidR="005566A1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7326F5">
        <w:rPr>
          <w:rFonts w:ascii="Courier New" w:hAnsi="Courier New" w:cs="Courier New"/>
          <w:sz w:val="16"/>
          <w:szCs w:val="16"/>
          <w:lang w:val="en-US"/>
        </w:rPr>
        <w:t xml:space="preserve">UNITED </w:t>
      </w:r>
      <w:r w:rsidRPr="007326F5">
        <w:rPr>
          <w:rFonts w:ascii="Courier New" w:hAnsi="Courier New" w:cs="Courier New"/>
          <w:sz w:val="16"/>
          <w:szCs w:val="16"/>
          <w:lang w:val="en-US"/>
        </w:rPr>
        <w:tab/>
        <w:t xml:space="preserve">      158.300 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7326F5">
        <w:rPr>
          <w:rFonts w:ascii="Courier New" w:hAnsi="Courier New" w:cs="Courier New"/>
          <w:sz w:val="16"/>
          <w:szCs w:val="16"/>
          <w:lang w:val="en-US"/>
        </w:rPr>
        <w:t>36.432</w:t>
      </w:r>
      <w:r w:rsidRPr="007326F5"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" w:hAnsi="Courier New" w:cs="Courier New"/>
          <w:sz w:val="16"/>
          <w:szCs w:val="16"/>
          <w:lang w:val="en-US"/>
        </w:rPr>
        <w:t xml:space="preserve">  1.878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    1329</w:t>
      </w:r>
      <w:r>
        <w:rPr>
          <w:rFonts w:ascii="Courier New" w:hAnsi="Courier New" w:cs="Courier New"/>
          <w:sz w:val="16"/>
          <w:szCs w:val="16"/>
          <w:lang w:val="en-US"/>
        </w:rPr>
        <w:tab/>
      </w:r>
      <w:r w:rsidRPr="007326F5">
        <w:rPr>
          <w:rFonts w:ascii="Courier New" w:hAnsi="Courier New" w:cs="Courier New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sz w:val="16"/>
          <w:szCs w:val="16"/>
          <w:lang w:val="en-US"/>
        </w:rPr>
        <w:t>90.000</w:t>
      </w:r>
      <w:r>
        <w:rPr>
          <w:rFonts w:ascii="Courier New" w:hAnsi="Courier New" w:cs="Courier New"/>
          <w:sz w:val="16"/>
          <w:szCs w:val="16"/>
          <w:lang w:val="en-US"/>
        </w:rPr>
        <w:tab/>
      </w:r>
      <w:r>
        <w:rPr>
          <w:rFonts w:ascii="Courier New" w:hAnsi="Courier New" w:cs="Courier New"/>
          <w:sz w:val="16"/>
          <w:szCs w:val="16"/>
          <w:lang w:val="en-US"/>
        </w:rPr>
        <w:tab/>
        <w:t>include United Express</w:t>
      </w:r>
      <w:r w:rsidRPr="007326F5">
        <w:rPr>
          <w:rFonts w:ascii="Courier New" w:hAnsi="Courier New" w:cs="Courier New"/>
          <w:sz w:val="16"/>
          <w:szCs w:val="16"/>
          <w:lang w:val="en-US"/>
        </w:rPr>
        <w:tab/>
      </w:r>
    </w:p>
    <w:p w:rsidR="005566A1" w:rsidRPr="008968FF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1A49C0">
        <w:rPr>
          <w:rFonts w:ascii="Courier New" w:hAnsi="Courier New" w:cs="Courier New"/>
          <w:sz w:val="14"/>
          <w:szCs w:val="14"/>
          <w:lang w:val="en-US"/>
        </w:rPr>
        <w:t>CHINA SOUTHERN</w:t>
      </w:r>
      <w:r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1A49C0">
        <w:rPr>
          <w:rFonts w:ascii="Courier New" w:hAnsi="Courier New" w:cs="Courier New"/>
          <w:sz w:val="16"/>
          <w:szCs w:val="16"/>
          <w:lang w:val="en-US"/>
        </w:rPr>
        <w:t>140.000</w:t>
      </w:r>
      <w:r>
        <w:rPr>
          <w:rFonts w:ascii="Courier New" w:hAnsi="Courier New" w:cs="Courier New"/>
          <w:sz w:val="16"/>
          <w:szCs w:val="16"/>
          <w:lang w:val="en-US"/>
        </w:rPr>
        <w:t xml:space="preserve">     18.872  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   393</w:t>
      </w:r>
      <w:r w:rsidRPr="001A49C0">
        <w:rPr>
          <w:rFonts w:ascii="Courier New" w:hAnsi="Courier New" w:cs="Courier New"/>
          <w:sz w:val="14"/>
          <w:szCs w:val="14"/>
          <w:lang w:val="en-US"/>
        </w:rPr>
        <w:tab/>
      </w:r>
      <w:r w:rsidRPr="00575C06">
        <w:rPr>
          <w:rFonts w:ascii="Courier New" w:hAnsi="Courier New" w:cs="Courier New"/>
          <w:sz w:val="16"/>
          <w:szCs w:val="16"/>
          <w:lang w:val="en-US"/>
        </w:rPr>
        <w:t xml:space="preserve">      606</w:t>
      </w:r>
      <w:r w:rsidRPr="001A49C0">
        <w:rPr>
          <w:rFonts w:ascii="Courier New" w:hAnsi="Courier New" w:cs="Courier New"/>
          <w:sz w:val="14"/>
          <w:szCs w:val="14"/>
          <w:lang w:val="en-US"/>
        </w:rPr>
        <w:tab/>
      </w:r>
      <w:r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8968FF">
        <w:rPr>
          <w:rFonts w:ascii="Courier New" w:hAnsi="Courier New" w:cs="Courier New"/>
          <w:sz w:val="16"/>
          <w:szCs w:val="16"/>
          <w:lang w:val="en-US"/>
        </w:rPr>
        <w:t xml:space="preserve">40.000 </w:t>
      </w:r>
    </w:p>
    <w:p w:rsidR="005566A1" w:rsidRPr="00692FBF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4"/>
          <w:szCs w:val="14"/>
          <w:lang w:val="en-US"/>
        </w:rPr>
      </w:pPr>
      <w:r w:rsidRPr="00692FBF">
        <w:rPr>
          <w:rFonts w:ascii="Courier New" w:hAnsi="Courier New" w:cs="Courier New"/>
          <w:sz w:val="14"/>
          <w:szCs w:val="14"/>
          <w:lang w:val="en-US"/>
        </w:rPr>
        <w:t xml:space="preserve">CHINA EASTERN </w:t>
      </w:r>
      <w:r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692FBF">
        <w:rPr>
          <w:rFonts w:ascii="Courier New" w:hAnsi="Courier New" w:cs="Courier New"/>
          <w:sz w:val="16"/>
          <w:szCs w:val="16"/>
          <w:lang w:val="en-US"/>
        </w:rPr>
        <w:t>121.100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  15.261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   360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    692</w:t>
      </w:r>
      <w:r>
        <w:rPr>
          <w:rFonts w:ascii="Courier New" w:hAnsi="Courier New" w:cs="Courier New"/>
          <w:sz w:val="16"/>
          <w:szCs w:val="16"/>
          <w:lang w:val="en-US"/>
        </w:rPr>
        <w:tab/>
        <w:t xml:space="preserve"> 75.000 </w:t>
      </w:r>
      <w:r>
        <w:rPr>
          <w:rFonts w:ascii="Courier New" w:hAnsi="Courier New" w:cs="Courier New"/>
          <w:sz w:val="16"/>
          <w:szCs w:val="16"/>
          <w:lang w:val="en-US"/>
        </w:rPr>
        <w:tab/>
      </w:r>
    </w:p>
    <w:p w:rsidR="005566A1" w:rsidRPr="00552A52" w:rsidRDefault="005566A1" w:rsidP="00556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sz w:val="16"/>
          <w:szCs w:val="16"/>
          <w:lang w:val="en-US"/>
        </w:rPr>
      </w:pPr>
      <w:r w:rsidRPr="00552A52">
        <w:rPr>
          <w:rFonts w:ascii="Courier New" w:hAnsi="Courier New" w:cs="Courier New"/>
          <w:sz w:val="16"/>
          <w:szCs w:val="16"/>
          <w:lang w:val="en-US"/>
        </w:rPr>
        <w:t>AIR CHINA    110.000     18.060</w:t>
      </w:r>
      <w:r w:rsidRPr="00552A52">
        <w:rPr>
          <w:rFonts w:ascii="Courier New" w:hAnsi="Courier New" w:cs="Courier New"/>
          <w:sz w:val="16"/>
          <w:szCs w:val="16"/>
          <w:lang w:val="en-US"/>
        </w:rPr>
        <w:tab/>
        <w:t xml:space="preserve">   </w:t>
      </w:r>
      <w:r>
        <w:rPr>
          <w:rFonts w:ascii="Courier New" w:hAnsi="Courier New" w:cs="Courier New"/>
          <w:sz w:val="16"/>
          <w:szCs w:val="16"/>
          <w:lang w:val="en-US"/>
        </w:rPr>
        <w:t xml:space="preserve"> </w:t>
      </w:r>
      <w:r w:rsidRPr="00552A52">
        <w:rPr>
          <w:rFonts w:ascii="Courier New" w:hAnsi="Courier New" w:cs="Courier New"/>
          <w:sz w:val="16"/>
          <w:szCs w:val="16"/>
          <w:lang w:val="en-US"/>
        </w:rPr>
        <w:t>964</w:t>
      </w:r>
      <w:r w:rsidRPr="00552A52">
        <w:rPr>
          <w:rFonts w:ascii="Courier New" w:hAnsi="Courier New" w:cs="Courier New"/>
          <w:sz w:val="16"/>
          <w:szCs w:val="16"/>
          <w:lang w:val="en-US"/>
        </w:rPr>
        <w:tab/>
        <w:t xml:space="preserve">     684</w:t>
      </w:r>
      <w:r w:rsidRPr="00552A52">
        <w:rPr>
          <w:rFonts w:ascii="Courier New" w:hAnsi="Courier New" w:cs="Courier New"/>
          <w:sz w:val="16"/>
          <w:szCs w:val="16"/>
          <w:lang w:val="en-US"/>
        </w:rPr>
        <w:tab/>
        <w:t xml:space="preserve"> 28.000 </w:t>
      </w:r>
      <w:r w:rsidRPr="00552A52">
        <w:rPr>
          <w:rFonts w:ascii="Courier New" w:hAnsi="Courier New" w:cs="Courier New"/>
          <w:sz w:val="16"/>
          <w:szCs w:val="16"/>
          <w:lang w:val="en-US"/>
        </w:rPr>
        <w:tab/>
        <w:t xml:space="preserve"> </w:t>
      </w:r>
    </w:p>
    <w:p w:rsidR="005566A1" w:rsidRDefault="005566A1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val="en-US" w:eastAsia="it-IT"/>
        </w:rPr>
      </w:pPr>
    </w:p>
    <w:p w:rsidR="005566A1" w:rsidRPr="005566A1" w:rsidRDefault="005566A1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La tabella da noi elaborata sulla base dei bilanci annuali 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>evidenzia un totale di euro</w:t>
      </w:r>
      <w:r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1.717 milioni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Pr="005566A1">
        <w:rPr>
          <w:rFonts w:eastAsia="Times New Roman" w:cs="Courier New"/>
          <w:color w:val="212121"/>
          <w:sz w:val="24"/>
          <w:szCs w:val="24"/>
          <w:lang w:eastAsia="it-IT"/>
        </w:rPr>
        <w:t>di profitto per le tre aerolinee cinesi contro 6.583 milioni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 xml:space="preserve"> di euro</w:t>
      </w:r>
      <w:r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dei tre vettori Usa.</w:t>
      </w:r>
    </w:p>
    <w:p w:rsidR="009E698D" w:rsidRPr="005566A1" w:rsidRDefault="009E698D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D14BEC" w:rsidRPr="005566A1" w:rsidRDefault="005566A1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>In effetti l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>'utile netto aggregato d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>elle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tre </w:t>
      </w:r>
      <w:r w:rsidR="0060370B">
        <w:rPr>
          <w:rFonts w:eastAsia="Times New Roman" w:cs="Courier New"/>
          <w:color w:val="212121"/>
          <w:sz w:val="24"/>
          <w:szCs w:val="24"/>
          <w:lang w:eastAsia="it-IT"/>
        </w:rPr>
        <w:t>maggiori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compagnie aeree cinesi è sceso del 34% nel 2018, il primo calo in cinque anni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e ciò è dovuto ai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maggiori costi del carburante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che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hanno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vanificato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la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crescente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domanda di viaggi.</w:t>
      </w:r>
    </w:p>
    <w:p w:rsidR="000832AD" w:rsidRDefault="005566A1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E’ a notare che Air China è </w:t>
      </w:r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 xml:space="preserve">in pratica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il vettore di bandiera</w:t>
      </w:r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 xml:space="preserve"> del Paese 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essendo</w:t>
      </w:r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 xml:space="preserve"> controllat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o</w:t>
      </w:r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 xml:space="preserve"> al 50 per cento dal governo ma non è la principale compagnia in termini di traffico in quanto superata sia da China </w:t>
      </w:r>
      <w:proofErr w:type="spellStart"/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>Southern</w:t>
      </w:r>
      <w:proofErr w:type="spellEnd"/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 xml:space="preserve"> come da China </w:t>
      </w:r>
      <w:proofErr w:type="spellStart"/>
      <w:r w:rsidR="005B4BF4">
        <w:rPr>
          <w:rFonts w:eastAsia="Times New Roman" w:cs="Courier New"/>
          <w:color w:val="212121"/>
          <w:sz w:val="24"/>
          <w:szCs w:val="24"/>
          <w:lang w:eastAsia="it-IT"/>
        </w:rPr>
        <w:t>Eastern</w:t>
      </w:r>
      <w:proofErr w:type="spellEnd"/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. La più grande delle tre è la privata China </w:t>
      </w:r>
      <w:proofErr w:type="spellStart"/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>Sou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t</w:t>
      </w:r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>hern</w:t>
      </w:r>
      <w:proofErr w:type="spellEnd"/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 con base a Canton non lontano quindi da Hong Kong, mentre la China </w:t>
      </w:r>
      <w:proofErr w:type="spellStart"/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>Eastern</w:t>
      </w:r>
      <w:proofErr w:type="spellEnd"/>
      <w:r w:rsid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 è basata su Shangai.</w:t>
      </w:r>
    </w:p>
    <w:p w:rsidR="00D14BEC" w:rsidRPr="005566A1" w:rsidRDefault="000832AD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Tutte e tre le compagnie </w:t>
      </w:r>
      <w:r w:rsidR="00111B95">
        <w:rPr>
          <w:rFonts w:eastAsia="Times New Roman" w:cs="Courier New"/>
          <w:color w:val="212121"/>
          <w:sz w:val="24"/>
          <w:szCs w:val="24"/>
          <w:lang w:eastAsia="it-IT"/>
        </w:rPr>
        <w:t xml:space="preserve">nel 2018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hanno visto aumentare le spese operative a causa dell’aumento di circa il 30 per cento dei prezzi del cherosene unitamente 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>a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d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un debole yuan.</w:t>
      </w:r>
    </w:p>
    <w:p w:rsidR="000832AD" w:rsidRDefault="000832AD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>Stesso calo degli utili ci fu anche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nel 2013, un anno caratterizzato da alti prezzi del carburante e intensa competizione nelle rotte interne e dalle ferrovie ad alta velocità. </w:t>
      </w:r>
    </w:p>
    <w:p w:rsidR="000832AD" w:rsidRDefault="000832AD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007CEA" w:rsidRDefault="00007CEA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D14BEC" w:rsidRPr="005566A1" w:rsidRDefault="00007CEA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lastRenderedPageBreak/>
        <w:t>Non tutti i paesi asiatici sono stati colpiti dai prezzi del carburante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. </w:t>
      </w:r>
      <w:proofErr w:type="spellStart"/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>Japan</w:t>
      </w:r>
      <w:proofErr w:type="spellEnd"/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Airlines prevede una crescita dell'utile netto dell'1,9% per l'anno conclusosi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il 31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marzo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scorso e ciò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grazie a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mirati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approvvigionament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i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e ai contratti </w:t>
      </w:r>
      <w:r w:rsidR="00D14BEC" w:rsidRPr="00007CEA">
        <w:rPr>
          <w:rFonts w:eastAsia="Times New Roman" w:cs="Courier New"/>
          <w:i/>
          <w:color w:val="212121"/>
          <w:sz w:val="24"/>
          <w:szCs w:val="24"/>
          <w:lang w:eastAsia="it-IT"/>
        </w:rPr>
        <w:t>future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.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>L'utile netto delle compagnie aeree americane, europee e giapponesi solit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amente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ha un impatto 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più </w:t>
      </w:r>
      <w:r w:rsidR="00111B95">
        <w:rPr>
          <w:rFonts w:eastAsia="Times New Roman" w:cs="Courier New"/>
          <w:color w:val="212121"/>
          <w:sz w:val="24"/>
          <w:szCs w:val="24"/>
          <w:lang w:eastAsia="it-IT"/>
        </w:rPr>
        <w:t>contenuto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nei confronti delle oscillazioni dei</w:t>
      </w:r>
      <w:r w:rsidR="00D14BEC" w:rsidRPr="005566A1">
        <w:rPr>
          <w:rFonts w:eastAsia="Times New Roman" w:cs="Courier New"/>
          <w:color w:val="212121"/>
          <w:sz w:val="24"/>
          <w:szCs w:val="24"/>
          <w:lang w:eastAsia="it-IT"/>
        </w:rPr>
        <w:t xml:space="preserve"> prezzi d</w:t>
      </w:r>
      <w:r>
        <w:rPr>
          <w:rFonts w:eastAsia="Times New Roman" w:cs="Courier New"/>
          <w:color w:val="212121"/>
          <w:sz w:val="24"/>
          <w:szCs w:val="24"/>
          <w:lang w:eastAsia="it-IT"/>
        </w:rPr>
        <w:t>el carburante.</w:t>
      </w:r>
    </w:p>
    <w:p w:rsidR="00D14BEC" w:rsidRPr="005566A1" w:rsidRDefault="00D14BEC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D14BEC" w:rsidRPr="000832AD" w:rsidRDefault="00D14BEC" w:rsidP="00007C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>Il 2019 po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rrà</w:t>
      </w: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nuovi</w:t>
      </w: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 ostacoli per il trio cinese, come la messa a terra del Boeing 737 Max dopo i 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 xml:space="preserve">due </w:t>
      </w: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recenti incidenti. Le autorità 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aeronautiche della Cina, come del resto quelle di tutti gli altri paesi</w:t>
      </w:r>
      <w:r w:rsidR="00111B95">
        <w:rPr>
          <w:rFonts w:eastAsia="Times New Roman" w:cs="Courier New"/>
          <w:color w:val="212121"/>
          <w:sz w:val="24"/>
          <w:szCs w:val="24"/>
          <w:lang w:eastAsia="it-IT"/>
        </w:rPr>
        <w:t>,</w:t>
      </w: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 xml:space="preserve"> hanno 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 xml:space="preserve">imposto il </w:t>
      </w:r>
      <w:proofErr w:type="spellStart"/>
      <w:r w:rsidR="00007CEA" w:rsidRPr="00111B95">
        <w:rPr>
          <w:rFonts w:eastAsia="Times New Roman" w:cs="Courier New"/>
          <w:i/>
          <w:color w:val="212121"/>
          <w:sz w:val="24"/>
          <w:szCs w:val="24"/>
          <w:lang w:eastAsia="it-IT"/>
        </w:rPr>
        <w:t>g</w:t>
      </w:r>
      <w:r w:rsidR="006C2251" w:rsidRPr="00111B95">
        <w:rPr>
          <w:rFonts w:eastAsia="Times New Roman" w:cs="Courier New"/>
          <w:i/>
          <w:color w:val="212121"/>
          <w:sz w:val="24"/>
          <w:szCs w:val="24"/>
          <w:lang w:eastAsia="it-IT"/>
        </w:rPr>
        <w:t>rounding</w:t>
      </w:r>
      <w:proofErr w:type="spellEnd"/>
      <w:r w:rsidR="006C2251">
        <w:rPr>
          <w:rFonts w:eastAsia="Times New Roman" w:cs="Courier New"/>
          <w:color w:val="212121"/>
          <w:sz w:val="24"/>
          <w:szCs w:val="24"/>
          <w:lang w:eastAsia="it-IT"/>
        </w:rPr>
        <w:t xml:space="preserve"> di questo velivolo fin</w:t>
      </w:r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 xml:space="preserve">tanto che non verrà </w:t>
      </w:r>
      <w:proofErr w:type="spellStart"/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>ricertificato</w:t>
      </w:r>
      <w:proofErr w:type="spellEnd"/>
      <w:r w:rsidR="00007CEA">
        <w:rPr>
          <w:rFonts w:eastAsia="Times New Roman" w:cs="Courier New"/>
          <w:color w:val="212121"/>
          <w:sz w:val="24"/>
          <w:szCs w:val="24"/>
          <w:lang w:eastAsia="it-IT"/>
        </w:rPr>
        <w:t xml:space="preserve"> il nuovo 737MAX</w:t>
      </w:r>
      <w:r w:rsidRPr="000832AD">
        <w:rPr>
          <w:rFonts w:eastAsia="Times New Roman" w:cs="Courier New"/>
          <w:color w:val="212121"/>
          <w:sz w:val="24"/>
          <w:szCs w:val="24"/>
          <w:lang w:eastAsia="it-IT"/>
        </w:rPr>
        <w:t>.</w:t>
      </w:r>
    </w:p>
    <w:p w:rsidR="000832AD" w:rsidRPr="006C2251" w:rsidRDefault="006C2251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  <w:r w:rsidRPr="006C2251">
        <w:rPr>
          <w:rFonts w:eastAsia="Times New Roman" w:cs="Courier New"/>
          <w:color w:val="212121"/>
          <w:sz w:val="24"/>
          <w:szCs w:val="24"/>
          <w:lang w:eastAsia="it-IT"/>
        </w:rPr>
        <w:t xml:space="preserve">In particolare la China </w:t>
      </w:r>
      <w:proofErr w:type="spellStart"/>
      <w:r w:rsidRPr="006C2251">
        <w:rPr>
          <w:rFonts w:eastAsia="Times New Roman" w:cs="Courier New"/>
          <w:color w:val="212121"/>
          <w:sz w:val="24"/>
          <w:szCs w:val="24"/>
          <w:lang w:eastAsia="it-IT"/>
        </w:rPr>
        <w:t>Eastern</w:t>
      </w:r>
      <w:proofErr w:type="spellEnd"/>
      <w:r w:rsidRPr="006C2251">
        <w:rPr>
          <w:rFonts w:eastAsia="Times New Roman" w:cs="Courier New"/>
          <w:color w:val="212121"/>
          <w:sz w:val="24"/>
          <w:szCs w:val="24"/>
          <w:lang w:eastAsia="it-IT"/>
        </w:rPr>
        <w:t xml:space="preserve"> che operava con una flotta di 14 MAX ha chiesto alla Boeing un pesante risarcimento per le perdite  causate dalla messa a terra.</w:t>
      </w:r>
      <w:r w:rsidR="00396E4E">
        <w:rPr>
          <w:rFonts w:eastAsia="Times New Roman" w:cs="Courier New"/>
          <w:color w:val="212121"/>
          <w:sz w:val="24"/>
          <w:szCs w:val="24"/>
          <w:lang w:eastAsia="it-IT"/>
        </w:rPr>
        <w:t xml:space="preserve"> La Air China ne ha</w:t>
      </w:r>
      <w:r w:rsidR="00D91674">
        <w:rPr>
          <w:rFonts w:eastAsia="Times New Roman" w:cs="Courier New"/>
          <w:color w:val="212121"/>
          <w:sz w:val="24"/>
          <w:szCs w:val="24"/>
          <w:lang w:eastAsia="it-IT"/>
        </w:rPr>
        <w:t xml:space="preserve"> in linea 15 e la China </w:t>
      </w:r>
      <w:proofErr w:type="spellStart"/>
      <w:r w:rsidR="000A0FA4">
        <w:rPr>
          <w:rFonts w:eastAsia="Times New Roman" w:cs="Courier New"/>
          <w:color w:val="212121"/>
          <w:sz w:val="24"/>
          <w:szCs w:val="24"/>
          <w:lang w:eastAsia="it-IT"/>
        </w:rPr>
        <w:t>Southern</w:t>
      </w:r>
      <w:proofErr w:type="spellEnd"/>
      <w:r w:rsidR="00D91674">
        <w:rPr>
          <w:rFonts w:eastAsia="Times New Roman" w:cs="Courier New"/>
          <w:color w:val="212121"/>
          <w:sz w:val="24"/>
          <w:szCs w:val="24"/>
          <w:lang w:eastAsia="it-IT"/>
        </w:rPr>
        <w:t xml:space="preserve"> </w:t>
      </w:r>
      <w:r w:rsidR="000A0FA4">
        <w:rPr>
          <w:rFonts w:eastAsia="Times New Roman" w:cs="Courier New"/>
          <w:color w:val="212121"/>
          <w:sz w:val="24"/>
          <w:szCs w:val="24"/>
          <w:lang w:eastAsia="it-IT"/>
        </w:rPr>
        <w:t>24</w:t>
      </w:r>
      <w:r w:rsidR="00396E4E">
        <w:rPr>
          <w:rFonts w:eastAsia="Times New Roman" w:cs="Courier New"/>
          <w:color w:val="212121"/>
          <w:sz w:val="24"/>
          <w:szCs w:val="24"/>
          <w:lang w:eastAsia="it-IT"/>
        </w:rPr>
        <w:t>.</w:t>
      </w:r>
    </w:p>
    <w:p w:rsidR="000832AD" w:rsidRPr="006C2251" w:rsidRDefault="000832AD" w:rsidP="00D14B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4"/>
          <w:szCs w:val="24"/>
          <w:lang w:eastAsia="it-IT"/>
        </w:rPr>
      </w:pPr>
    </w:p>
    <w:p w:rsidR="00D14BEC" w:rsidRDefault="00D14BEC"/>
    <w:p w:rsidR="0060370B" w:rsidRDefault="0060370B">
      <w:pPr>
        <w:rPr>
          <w:sz w:val="20"/>
          <w:szCs w:val="20"/>
          <w:lang w:val="en-US"/>
        </w:rPr>
      </w:pPr>
      <w:r w:rsidRPr="0060370B">
        <w:rPr>
          <w:sz w:val="20"/>
          <w:szCs w:val="20"/>
          <w:lang w:val="en-US"/>
        </w:rPr>
        <w:t xml:space="preserve">(1) “IATA Forecast predicts 8.2 billion air travelers in 2037”  24 </w:t>
      </w:r>
      <w:proofErr w:type="spellStart"/>
      <w:r w:rsidRPr="0060370B">
        <w:rPr>
          <w:sz w:val="20"/>
          <w:szCs w:val="20"/>
          <w:lang w:val="en-US"/>
        </w:rPr>
        <w:t>ottobre</w:t>
      </w:r>
      <w:proofErr w:type="spellEnd"/>
      <w:r w:rsidRPr="0060370B">
        <w:rPr>
          <w:sz w:val="20"/>
          <w:szCs w:val="20"/>
          <w:lang w:val="en-US"/>
        </w:rPr>
        <w:t xml:space="preserve"> 2018</w:t>
      </w:r>
    </w:p>
    <w:p w:rsidR="00AB6900" w:rsidRDefault="00AB6900">
      <w:pPr>
        <w:rPr>
          <w:sz w:val="20"/>
          <w:szCs w:val="20"/>
          <w:lang w:val="en-US"/>
        </w:rPr>
      </w:pPr>
    </w:p>
    <w:p w:rsidR="00AB6900" w:rsidRDefault="00AB6900">
      <w:pPr>
        <w:rPr>
          <w:sz w:val="20"/>
          <w:szCs w:val="20"/>
          <w:lang w:val="en-US"/>
        </w:rPr>
      </w:pPr>
    </w:p>
    <w:p w:rsidR="00AB6900" w:rsidRDefault="00AB6900">
      <w:pPr>
        <w:rPr>
          <w:i/>
          <w:color w:val="00B0F0"/>
          <w:sz w:val="24"/>
          <w:szCs w:val="24"/>
          <w:lang w:val="en-US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hyperlink r:id="rId6" w:history="1">
        <w:r w:rsidRPr="001C286B">
          <w:rPr>
            <w:rStyle w:val="Collegamentoipertestuale"/>
            <w:i/>
            <w:sz w:val="24"/>
            <w:szCs w:val="24"/>
            <w:lang w:val="en-US"/>
          </w:rPr>
          <w:t>www.Aviation-Industry-News.com</w:t>
        </w:r>
      </w:hyperlink>
    </w:p>
    <w:p w:rsidR="00AB6900" w:rsidRDefault="00AB6900">
      <w:pPr>
        <w:rPr>
          <w:i/>
          <w:color w:val="00B0F0"/>
          <w:sz w:val="24"/>
          <w:szCs w:val="24"/>
          <w:lang w:val="en-US"/>
        </w:rPr>
      </w:pPr>
    </w:p>
    <w:p w:rsidR="00AB6900" w:rsidRPr="00AB6900" w:rsidRDefault="00AB6900">
      <w:pPr>
        <w:rPr>
          <w:i/>
          <w:color w:val="00B0F0"/>
          <w:sz w:val="16"/>
          <w:szCs w:val="16"/>
          <w:lang w:val="en-US"/>
        </w:rPr>
      </w:pPr>
      <w:r>
        <w:rPr>
          <w:i/>
          <w:color w:val="00B0F0"/>
          <w:sz w:val="16"/>
          <w:szCs w:val="16"/>
          <w:lang w:val="en-US"/>
        </w:rPr>
        <w:t xml:space="preserve">12 </w:t>
      </w:r>
      <w:proofErr w:type="spellStart"/>
      <w:r>
        <w:rPr>
          <w:i/>
          <w:color w:val="00B0F0"/>
          <w:sz w:val="16"/>
          <w:szCs w:val="16"/>
          <w:lang w:val="en-US"/>
        </w:rPr>
        <w:t>aprile</w:t>
      </w:r>
      <w:proofErr w:type="spellEnd"/>
      <w:r>
        <w:rPr>
          <w:i/>
          <w:color w:val="00B0F0"/>
          <w:sz w:val="16"/>
          <w:szCs w:val="16"/>
          <w:lang w:val="en-US"/>
        </w:rPr>
        <w:t xml:space="preserve"> 2019</w:t>
      </w:r>
    </w:p>
    <w:sectPr w:rsidR="00AB6900" w:rsidRPr="00AB6900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14BEC"/>
    <w:rsid w:val="00007C38"/>
    <w:rsid w:val="00007CEA"/>
    <w:rsid w:val="00026111"/>
    <w:rsid w:val="00040481"/>
    <w:rsid w:val="000832AD"/>
    <w:rsid w:val="000A0FA4"/>
    <w:rsid w:val="000E560D"/>
    <w:rsid w:val="00111B95"/>
    <w:rsid w:val="00115D92"/>
    <w:rsid w:val="002A52A0"/>
    <w:rsid w:val="00350B99"/>
    <w:rsid w:val="00396E4E"/>
    <w:rsid w:val="003E2BB9"/>
    <w:rsid w:val="005566A1"/>
    <w:rsid w:val="00573BDE"/>
    <w:rsid w:val="005B4BF4"/>
    <w:rsid w:val="005D2ADA"/>
    <w:rsid w:val="0060370B"/>
    <w:rsid w:val="006B574B"/>
    <w:rsid w:val="006C2251"/>
    <w:rsid w:val="0071327B"/>
    <w:rsid w:val="007A535C"/>
    <w:rsid w:val="008E5B32"/>
    <w:rsid w:val="00965B57"/>
    <w:rsid w:val="00984BA1"/>
    <w:rsid w:val="0099129E"/>
    <w:rsid w:val="009E20F0"/>
    <w:rsid w:val="009E698D"/>
    <w:rsid w:val="00AA7026"/>
    <w:rsid w:val="00AB6900"/>
    <w:rsid w:val="00B1326F"/>
    <w:rsid w:val="00B43955"/>
    <w:rsid w:val="00BD3387"/>
    <w:rsid w:val="00CA1BCD"/>
    <w:rsid w:val="00D14BEC"/>
    <w:rsid w:val="00D91674"/>
    <w:rsid w:val="00E2198A"/>
    <w:rsid w:val="00E45215"/>
    <w:rsid w:val="00EC051E"/>
    <w:rsid w:val="00EC41F2"/>
    <w:rsid w:val="00F72F77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4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4BE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2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B69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23</cp:revision>
  <cp:lastPrinted>2019-04-12T06:13:00Z</cp:lastPrinted>
  <dcterms:created xsi:type="dcterms:W3CDTF">2019-04-11T11:14:00Z</dcterms:created>
  <dcterms:modified xsi:type="dcterms:W3CDTF">2019-04-12T06:21:00Z</dcterms:modified>
</cp:coreProperties>
</file>