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EE" w:rsidRDefault="000B33EE" w:rsidP="000B33EE">
      <w:pPr>
        <w:rPr>
          <w:b/>
          <w:color w:val="5B9BD5" w:themeColor="accent1"/>
          <w:sz w:val="28"/>
          <w:szCs w:val="28"/>
        </w:rPr>
      </w:pPr>
      <w:r>
        <w:rPr>
          <w:b/>
          <w:noProof/>
          <w:color w:val="5B9BD5" w:themeColor="accent1"/>
          <w:sz w:val="28"/>
          <w:szCs w:val="28"/>
          <w:lang w:eastAsia="it-IT"/>
        </w:rPr>
        <w:drawing>
          <wp:inline distT="0" distB="0" distL="0" distR="0">
            <wp:extent cx="1854000" cy="298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2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A0B" w:rsidRPr="000B33EE" w:rsidRDefault="00932A0B" w:rsidP="000B33EE">
      <w:pPr>
        <w:jc w:val="center"/>
        <w:rPr>
          <w:b/>
          <w:color w:val="5B9BD5" w:themeColor="accent1"/>
          <w:sz w:val="28"/>
          <w:szCs w:val="28"/>
        </w:rPr>
      </w:pPr>
      <w:r w:rsidRPr="000B33EE">
        <w:rPr>
          <w:b/>
          <w:color w:val="5B9BD5" w:themeColor="accent1"/>
          <w:sz w:val="28"/>
          <w:szCs w:val="28"/>
        </w:rPr>
        <w:t xml:space="preserve">I </w:t>
      </w:r>
      <w:r w:rsidR="000B33EE">
        <w:rPr>
          <w:b/>
          <w:color w:val="5B9BD5" w:themeColor="accent1"/>
          <w:sz w:val="28"/>
          <w:szCs w:val="28"/>
        </w:rPr>
        <w:t>“</w:t>
      </w:r>
      <w:r w:rsidRPr="000B33EE">
        <w:rPr>
          <w:b/>
          <w:color w:val="5B9BD5" w:themeColor="accent1"/>
          <w:sz w:val="28"/>
          <w:szCs w:val="28"/>
        </w:rPr>
        <w:t>TRIONFI</w:t>
      </w:r>
      <w:r w:rsidR="000B33EE">
        <w:rPr>
          <w:b/>
          <w:color w:val="5B9BD5" w:themeColor="accent1"/>
          <w:sz w:val="28"/>
          <w:szCs w:val="28"/>
        </w:rPr>
        <w:t>”</w:t>
      </w:r>
      <w:r w:rsidRPr="000B33EE">
        <w:rPr>
          <w:b/>
          <w:color w:val="5B9BD5" w:themeColor="accent1"/>
          <w:sz w:val="28"/>
          <w:szCs w:val="28"/>
        </w:rPr>
        <w:t xml:space="preserve"> DI ALITALIA</w:t>
      </w:r>
    </w:p>
    <w:p w:rsidR="00484AE0" w:rsidRPr="00C2222D" w:rsidRDefault="00932A0B" w:rsidP="00932A0B">
      <w:pPr>
        <w:rPr>
          <w:sz w:val="24"/>
          <w:szCs w:val="24"/>
        </w:rPr>
      </w:pPr>
      <w:r w:rsidRPr="00C2222D">
        <w:rPr>
          <w:sz w:val="24"/>
          <w:szCs w:val="24"/>
        </w:rPr>
        <w:t xml:space="preserve">Diciamolo chiaramente, quando il numero passeggeri trasportati da una compagnia aerea è in diminuzione non è un buon segno. </w:t>
      </w:r>
      <w:r w:rsidR="00C60DBE">
        <w:rPr>
          <w:sz w:val="24"/>
          <w:szCs w:val="24"/>
        </w:rPr>
        <w:t>Nè</w:t>
      </w:r>
      <w:r w:rsidRPr="00C2222D">
        <w:rPr>
          <w:sz w:val="24"/>
          <w:szCs w:val="24"/>
        </w:rPr>
        <w:t xml:space="preserve"> a mitigare lo sconforto possiamo invocare il particolare che però su un </w:t>
      </w:r>
      <w:r w:rsidR="00C60DBE">
        <w:rPr>
          <w:sz w:val="24"/>
          <w:szCs w:val="24"/>
        </w:rPr>
        <w:t xml:space="preserve">determinato  </w:t>
      </w:r>
      <w:r w:rsidRPr="00C2222D">
        <w:rPr>
          <w:sz w:val="24"/>
          <w:szCs w:val="24"/>
        </w:rPr>
        <w:t>settore s</w:t>
      </w:r>
      <w:r w:rsidR="00C60DBE">
        <w:rPr>
          <w:sz w:val="24"/>
          <w:szCs w:val="24"/>
        </w:rPr>
        <w:t>i è registrato un</w:t>
      </w:r>
      <w:r w:rsidRPr="00C2222D">
        <w:rPr>
          <w:sz w:val="24"/>
          <w:szCs w:val="24"/>
        </w:rPr>
        <w:t xml:space="preserve"> aument</w:t>
      </w:r>
      <w:r w:rsidR="00C60DBE">
        <w:rPr>
          <w:sz w:val="24"/>
          <w:szCs w:val="24"/>
        </w:rPr>
        <w:t>o</w:t>
      </w:r>
      <w:r w:rsidRPr="00C2222D">
        <w:rPr>
          <w:sz w:val="24"/>
          <w:szCs w:val="24"/>
        </w:rPr>
        <w:t>. Ci riferiamo al comunicato stampa con cui Alitalia ha reso noti alcuni dati riferiti all’andamento per il 2019. Secondo i dati Enac</w:t>
      </w:r>
      <w:r w:rsidR="00C60DBE">
        <w:rPr>
          <w:sz w:val="24"/>
          <w:szCs w:val="24"/>
        </w:rPr>
        <w:t>, Ente Nazionale Aviazione Civile,</w:t>
      </w:r>
      <w:r w:rsidRPr="00C2222D">
        <w:rPr>
          <w:sz w:val="24"/>
          <w:szCs w:val="24"/>
        </w:rPr>
        <w:t xml:space="preserve"> Alitalia nel 2018 aveva trasportato 21.987.000 passeggeri, nel 2019 comunica di averne portati 21.293.000 ciò significa che vi è stata una diiminuzione complessiva di 694mila unità</w:t>
      </w:r>
      <w:r w:rsidR="00C60DBE">
        <w:rPr>
          <w:sz w:val="24"/>
          <w:szCs w:val="24"/>
        </w:rPr>
        <w:t>, non sono pochi</w:t>
      </w:r>
      <w:r w:rsidRPr="00C2222D">
        <w:rPr>
          <w:sz w:val="24"/>
          <w:szCs w:val="24"/>
        </w:rPr>
        <w:t>. Ebbene nel comunicato Alitalia leggiamo:</w:t>
      </w:r>
    </w:p>
    <w:p w:rsidR="00932A0B" w:rsidRPr="00932A0B" w:rsidRDefault="00932A0B" w:rsidP="00932A0B">
      <w:pPr>
        <w:rPr>
          <w:i/>
          <w:color w:val="333333"/>
          <w:sz w:val="24"/>
          <w:szCs w:val="24"/>
          <w:shd w:val="clear" w:color="auto" w:fill="FFFFFF"/>
        </w:rPr>
      </w:pPr>
      <w:r w:rsidRPr="00932A0B">
        <w:rPr>
          <w:i/>
          <w:color w:val="333333"/>
          <w:sz w:val="24"/>
          <w:szCs w:val="24"/>
          <w:shd w:val="clear" w:color="auto" w:fill="FFFFFF"/>
        </w:rPr>
        <w:t>Complessivamente, nel 2019 hanno volato con Alitalia 21.293.078 passeggeri. In particolare, sui voli di lungo raggio ne sono stati trasportati 2.849.025, con un incremento del 4,7% sul 2018 e del 12,1% rispetto al 2017.</w:t>
      </w:r>
    </w:p>
    <w:p w:rsidR="00CB0D1F" w:rsidRDefault="00CB0D1F" w:rsidP="00932A0B">
      <w:pPr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Capiamo che c’è la necessità di tirare su il morale però i numeri andrebbero tutti illustrati siano essi in positivo come in negativo, soprattutto ricordando che attualmente Alitalia è</w:t>
      </w:r>
      <w:r w:rsidR="00932A0B" w:rsidRPr="00932A0B">
        <w:rPr>
          <w:color w:val="333333"/>
          <w:sz w:val="24"/>
          <w:szCs w:val="24"/>
          <w:shd w:val="clear" w:color="auto" w:fill="FFFFFF"/>
        </w:rPr>
        <w:t xml:space="preserve"> una azienda che continua a stare in volo con i sussidi pubblici.</w:t>
      </w:r>
      <w:r w:rsidR="00C2222D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932A0B" w:rsidRDefault="00C2222D" w:rsidP="00932A0B">
      <w:pPr>
        <w:rPr>
          <w:i/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Ci fa piacere apprendere che il lungo raggio rende bene peccato però che ce ne siamo accorti in ritardo dopo</w:t>
      </w:r>
      <w:r w:rsidR="00C60DBE">
        <w:rPr>
          <w:color w:val="333333"/>
          <w:sz w:val="24"/>
          <w:szCs w:val="24"/>
          <w:shd w:val="clear" w:color="auto" w:fill="FFFFFF"/>
        </w:rPr>
        <w:t xml:space="preserve"> che coloro i quali dirigevano la compagnia hanno chiuso nel corso degli anni</w:t>
      </w:r>
      <w:r>
        <w:rPr>
          <w:color w:val="333333"/>
          <w:sz w:val="24"/>
          <w:szCs w:val="24"/>
          <w:shd w:val="clear" w:color="auto" w:fill="FFFFFF"/>
        </w:rPr>
        <w:t xml:space="preserve"> un gran numero di destinazioni </w:t>
      </w:r>
      <w:r w:rsidRPr="00C2222D">
        <w:rPr>
          <w:i/>
          <w:color w:val="333333"/>
          <w:sz w:val="24"/>
          <w:szCs w:val="24"/>
          <w:shd w:val="clear" w:color="auto" w:fill="FFFFFF"/>
        </w:rPr>
        <w:t>long haul.</w:t>
      </w:r>
    </w:p>
    <w:p w:rsidR="00C2222D" w:rsidRPr="00C2222D" w:rsidRDefault="00C2222D" w:rsidP="00932A0B">
      <w:pPr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Un particolare preoccupante è che al contrario dei numeri delle altre compagnie, i passeggeri trasportati da Alitalia continuano a </w:t>
      </w:r>
      <w:r w:rsidRPr="00CB0D1F">
        <w:rPr>
          <w:b/>
          <w:color w:val="333333"/>
          <w:sz w:val="24"/>
          <w:szCs w:val="24"/>
          <w:shd w:val="clear" w:color="auto" w:fill="FFFFFF"/>
        </w:rPr>
        <w:t>oscillare in modo altalenante</w:t>
      </w:r>
      <w:r>
        <w:rPr>
          <w:color w:val="333333"/>
          <w:sz w:val="24"/>
          <w:szCs w:val="24"/>
          <w:shd w:val="clear" w:color="auto" w:fill="FFFFFF"/>
        </w:rPr>
        <w:t xml:space="preserve"> senza mostrare mai s</w:t>
      </w:r>
      <w:r w:rsidR="000B33EE">
        <w:rPr>
          <w:color w:val="333333"/>
          <w:sz w:val="24"/>
          <w:szCs w:val="24"/>
          <w:shd w:val="clear" w:color="auto" w:fill="FFFFFF"/>
        </w:rPr>
        <w:t>ignificativi e stabili recuperi</w:t>
      </w:r>
      <w:r w:rsidR="00CB0D1F">
        <w:rPr>
          <w:color w:val="333333"/>
          <w:sz w:val="24"/>
          <w:szCs w:val="24"/>
          <w:shd w:val="clear" w:color="auto" w:fill="FFFFFF"/>
        </w:rPr>
        <w:t xml:space="preserve">, </w:t>
      </w:r>
      <w:r w:rsidR="000B33EE">
        <w:rPr>
          <w:color w:val="333333"/>
          <w:sz w:val="24"/>
          <w:szCs w:val="24"/>
          <w:shd w:val="clear" w:color="auto" w:fill="FFFFFF"/>
        </w:rPr>
        <w:t>segno evidente che si continua a navigare a vista.</w:t>
      </w:r>
    </w:p>
    <w:p w:rsidR="00932A0B" w:rsidRDefault="00932A0B" w:rsidP="00932A0B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2017: 21.765.000</w:t>
      </w:r>
    </w:p>
    <w:p w:rsidR="00932A0B" w:rsidRDefault="00932A0B" w:rsidP="00932A0B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2018: 21.987.000</w:t>
      </w:r>
    </w:p>
    <w:p w:rsidR="00932A0B" w:rsidRDefault="00932A0B" w:rsidP="00932A0B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2019: 21.293.000</w:t>
      </w:r>
    </w:p>
    <w:p w:rsidR="00C2222D" w:rsidRDefault="00C2222D" w:rsidP="00932A0B">
      <w:pPr>
        <w:rPr>
          <w:color w:val="333333"/>
          <w:sz w:val="24"/>
          <w:szCs w:val="24"/>
          <w:shd w:val="clear" w:color="auto" w:fill="FFFFFF"/>
        </w:rPr>
      </w:pPr>
      <w:r w:rsidRPr="00C2222D">
        <w:rPr>
          <w:color w:val="333333"/>
          <w:sz w:val="24"/>
          <w:szCs w:val="24"/>
          <w:shd w:val="clear" w:color="auto" w:fill="FFFFFF"/>
        </w:rPr>
        <w:t xml:space="preserve">In compenso gran risalto viene continuato a dare al fattore puntualità il quale sarà bene ricordarlo è un </w:t>
      </w:r>
      <w:r w:rsidRPr="00C60DBE">
        <w:rPr>
          <w:i/>
          <w:color w:val="333333"/>
          <w:sz w:val="24"/>
          <w:szCs w:val="24"/>
          <w:shd w:val="clear" w:color="auto" w:fill="FFFFFF"/>
        </w:rPr>
        <w:t>benchmark</w:t>
      </w:r>
      <w:r w:rsidRPr="00C2222D">
        <w:rPr>
          <w:color w:val="333333"/>
          <w:sz w:val="24"/>
          <w:szCs w:val="24"/>
          <w:shd w:val="clear" w:color="auto" w:fill="FFFFFF"/>
        </w:rPr>
        <w:t xml:space="preserve"> di traffico ma non finanziario.</w:t>
      </w:r>
    </w:p>
    <w:p w:rsidR="008312BD" w:rsidRDefault="00C60DBE" w:rsidP="00932A0B">
      <w:pPr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I dati del 2019 non sono stati ancora resi noti dalle altre compagnie</w:t>
      </w:r>
      <w:r w:rsidR="00965DA6">
        <w:rPr>
          <w:color w:val="333333"/>
          <w:sz w:val="24"/>
          <w:szCs w:val="24"/>
          <w:shd w:val="clear" w:color="auto" w:fill="FFFFFF"/>
        </w:rPr>
        <w:t xml:space="preserve"> ma in Europa a parte la British Airways che ha avuto un 2019 caratterizzato da molteplici agitazioni sindacali</w:t>
      </w:r>
      <w:r w:rsidR="00CB0D1F">
        <w:rPr>
          <w:color w:val="333333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="00965DA6">
        <w:rPr>
          <w:color w:val="333333"/>
          <w:sz w:val="24"/>
          <w:szCs w:val="24"/>
          <w:shd w:val="clear" w:color="auto" w:fill="FFFFFF"/>
        </w:rPr>
        <w:t xml:space="preserve"> le altre compagnie mostrano nei loro dati provvisori passeggeri in aumento</w:t>
      </w:r>
      <w:r w:rsidR="009F59D0">
        <w:rPr>
          <w:color w:val="333333"/>
          <w:sz w:val="24"/>
          <w:szCs w:val="24"/>
          <w:shd w:val="clear" w:color="auto" w:fill="FFFFFF"/>
        </w:rPr>
        <w:t xml:space="preserve">. </w:t>
      </w:r>
      <w:r w:rsidR="008312BD">
        <w:rPr>
          <w:color w:val="333333"/>
          <w:sz w:val="24"/>
          <w:szCs w:val="24"/>
          <w:shd w:val="clear" w:color="auto" w:fill="FFFFFF"/>
        </w:rPr>
        <w:t>Al 30 settembre 2019 il gruppo Air France-KL ha trasportato 66.278.000 passeggeri contro i 64.509.000 del 2018, sempre alla stessa data il gruppo Lufthansa ha dichiarato di aver portato il 3,1 percento in più di passeggeri rispetto al 2018</w:t>
      </w:r>
      <w:r w:rsidR="009F59D0">
        <w:rPr>
          <w:color w:val="333333"/>
          <w:sz w:val="24"/>
          <w:szCs w:val="24"/>
          <w:shd w:val="clear" w:color="auto" w:fill="FFFFFF"/>
        </w:rPr>
        <w:t>.</w:t>
      </w:r>
      <w:r w:rsidR="000B33EE">
        <w:rPr>
          <w:color w:val="333333"/>
          <w:sz w:val="24"/>
          <w:szCs w:val="24"/>
          <w:shd w:val="clear" w:color="auto" w:fill="FFFFFF"/>
        </w:rPr>
        <w:t xml:space="preserve"> La Tap Portugal al 30 giugno aveva trasportato il 5 per cento di passeggeri in più rispetto al primo semestre 2018. Iberia Express ha diramato i dati definitivi del 2019 che vedono il numero passeggeri aumentare del 7.7 per cento (6.1 milioni) rispetto al 2018.</w:t>
      </w:r>
    </w:p>
    <w:p w:rsidR="000B33EE" w:rsidRDefault="000B33EE" w:rsidP="00932A0B">
      <w:pPr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I ricavi, avverte il comunicato Alitalia sono aumentati dell’1,7%</w:t>
      </w:r>
      <w:r w:rsidR="00EE6744">
        <w:rPr>
          <w:color w:val="333333"/>
          <w:sz w:val="24"/>
          <w:szCs w:val="24"/>
          <w:shd w:val="clear" w:color="auto" w:fill="FFFFFF"/>
        </w:rPr>
        <w:t xml:space="preserve"> ma non è possibile fare serie analisi dal momento che se si va su sito </w:t>
      </w:r>
    </w:p>
    <w:p w:rsidR="008C2FC4" w:rsidRDefault="00CB0D1F" w:rsidP="00932A0B">
      <w:pPr>
        <w:rPr>
          <w:rStyle w:val="Hyperlink"/>
        </w:rPr>
      </w:pPr>
      <w:hyperlink r:id="rId5" w:history="1">
        <w:r w:rsidR="008C2FC4">
          <w:rPr>
            <w:rStyle w:val="Hyperlink"/>
          </w:rPr>
          <w:t>http://www.amministrazionestraordinariaalitaliasai.it/index.php?where=relazioni-trimestrali</w:t>
        </w:r>
      </w:hyperlink>
    </w:p>
    <w:p w:rsidR="00EE6744" w:rsidRDefault="00EE6744" w:rsidP="00932A0B">
      <w:pPr>
        <w:rPr>
          <w:rStyle w:val="Hyperlink"/>
          <w:color w:val="auto"/>
          <w:sz w:val="24"/>
          <w:szCs w:val="24"/>
          <w:u w:val="none"/>
        </w:rPr>
      </w:pPr>
      <w:r w:rsidRPr="00EE6744">
        <w:rPr>
          <w:rStyle w:val="Hyperlink"/>
          <w:color w:val="auto"/>
          <w:sz w:val="24"/>
          <w:szCs w:val="24"/>
          <w:u w:val="none"/>
        </w:rPr>
        <w:lastRenderedPageBreak/>
        <w:t>la situazione che viene mostrata è ferma al 30 giugno</w:t>
      </w:r>
      <w:r>
        <w:rPr>
          <w:rStyle w:val="Hyperlink"/>
          <w:color w:val="auto"/>
          <w:sz w:val="24"/>
          <w:szCs w:val="24"/>
          <w:u w:val="none"/>
        </w:rPr>
        <w:t>, come da immagine che mostriamo ripresa alla data odierna, 24 gennaio 2020</w:t>
      </w:r>
    </w:p>
    <w:p w:rsidR="00EE6744" w:rsidRDefault="00EE6744" w:rsidP="00932A0B">
      <w:pPr>
        <w:rPr>
          <w:rStyle w:val="Hyperlink"/>
          <w:color w:val="auto"/>
          <w:sz w:val="24"/>
          <w:szCs w:val="24"/>
          <w:u w:val="none"/>
        </w:rPr>
      </w:pPr>
    </w:p>
    <w:p w:rsidR="00EE6744" w:rsidRDefault="00EE6744" w:rsidP="00932A0B">
      <w:pPr>
        <w:rPr>
          <w:rStyle w:val="Hyperlink"/>
          <w:color w:val="auto"/>
          <w:sz w:val="24"/>
          <w:szCs w:val="24"/>
          <w:u w:val="none"/>
        </w:rPr>
      </w:pPr>
      <w:r w:rsidRPr="00EE6744">
        <w:rPr>
          <w:noProof/>
          <w:sz w:val="24"/>
          <w:szCs w:val="24"/>
          <w:bdr w:val="single" w:sz="4" w:space="0" w:color="auto"/>
          <w:lang w:eastAsia="it-IT"/>
        </w:rPr>
        <w:drawing>
          <wp:inline distT="0" distB="0" distL="0" distR="0">
            <wp:extent cx="6120130" cy="35363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IImmagi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</w:p>
    <w:p w:rsidR="00EE6744" w:rsidRDefault="00EE6744" w:rsidP="00932A0B">
      <w:pPr>
        <w:rPr>
          <w:rStyle w:val="Hyperlink"/>
          <w:color w:val="auto"/>
          <w:sz w:val="24"/>
          <w:szCs w:val="24"/>
          <w:u w:val="none"/>
        </w:rPr>
      </w:pPr>
    </w:p>
    <w:p w:rsidR="00EE6744" w:rsidRDefault="00EE6744" w:rsidP="00932A0B">
      <w:p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In compenso, sempre nel comunicato in oggetto, si apprende che le poltrone della classe </w:t>
      </w:r>
      <w:r w:rsidRPr="00EE6744">
        <w:rPr>
          <w:rStyle w:val="Hyperlink"/>
          <w:i/>
          <w:color w:val="auto"/>
          <w:sz w:val="24"/>
          <w:szCs w:val="24"/>
          <w:u w:val="none"/>
        </w:rPr>
        <w:t>Magnifica</w:t>
      </w:r>
      <w:r>
        <w:rPr>
          <w:rStyle w:val="Hyperlink"/>
          <w:color w:val="auto"/>
          <w:sz w:val="24"/>
          <w:szCs w:val="24"/>
          <w:u w:val="none"/>
        </w:rPr>
        <w:t xml:space="preserve"> per il secondo anno consecutivo hanno vinto il “Best Business Class Seat Design” assegnato dal mensile americano Global Traveler. Peccato però che i passeggeri sono in diminuzione.  Evidentemente non basta una comoda poltrona per fare una compagnia di successo.</w:t>
      </w:r>
    </w:p>
    <w:p w:rsidR="00EE6744" w:rsidRDefault="00EE6744" w:rsidP="00932A0B">
      <w:pPr>
        <w:rPr>
          <w:rStyle w:val="Hyperlink"/>
          <w:color w:val="auto"/>
          <w:sz w:val="24"/>
          <w:szCs w:val="24"/>
          <w:u w:val="none"/>
        </w:rPr>
      </w:pPr>
    </w:p>
    <w:p w:rsidR="00EE6744" w:rsidRDefault="00EE6744" w:rsidP="00932A0B">
      <w:pPr>
        <w:rPr>
          <w:rStyle w:val="Hyperlink"/>
          <w:color w:val="auto"/>
          <w:sz w:val="24"/>
          <w:szCs w:val="24"/>
          <w:u w:val="none"/>
        </w:rPr>
      </w:pPr>
    </w:p>
    <w:p w:rsidR="00EE6744" w:rsidRPr="00EE6744" w:rsidRDefault="00EE6744" w:rsidP="00932A0B">
      <w:pPr>
        <w:rPr>
          <w:i/>
          <w:sz w:val="18"/>
          <w:szCs w:val="18"/>
        </w:rPr>
      </w:pPr>
      <w:r w:rsidRPr="00EE6744">
        <w:rPr>
          <w:rStyle w:val="Hyperlink"/>
          <w:i/>
          <w:color w:val="auto"/>
          <w:sz w:val="18"/>
          <w:szCs w:val="18"/>
          <w:u w:val="none"/>
        </w:rPr>
        <w:t>24 gennaio 2020</w:t>
      </w:r>
    </w:p>
    <w:sectPr w:rsidR="00EE6744" w:rsidRPr="00EE67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0B"/>
    <w:rsid w:val="000B33EE"/>
    <w:rsid w:val="00484AE0"/>
    <w:rsid w:val="008312BD"/>
    <w:rsid w:val="008C2FC4"/>
    <w:rsid w:val="00932A0B"/>
    <w:rsid w:val="00965DA6"/>
    <w:rsid w:val="009F59D0"/>
    <w:rsid w:val="00C2222D"/>
    <w:rsid w:val="00C60DBE"/>
    <w:rsid w:val="00CB0D1F"/>
    <w:rsid w:val="00E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0598F-F120-4FDD-9CB3-0A946154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C2FC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C2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www.amministrazionestraordinariaalitaliasai.it/index.php?where=relazioni-trimestrali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6</cp:revision>
  <dcterms:created xsi:type="dcterms:W3CDTF">2020-01-24T15:16:00Z</dcterms:created>
  <dcterms:modified xsi:type="dcterms:W3CDTF">2020-01-24T18:09:00Z</dcterms:modified>
</cp:coreProperties>
</file>