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7A1E" w14:textId="0993AC4C" w:rsidR="00080E6D" w:rsidRPr="00BB1B46" w:rsidRDefault="00BB1B46">
      <w:pPr>
        <w:rPr>
          <w:i/>
          <w:iCs/>
          <w:color w:val="00B0F0"/>
          <w:sz w:val="20"/>
          <w:szCs w:val="20"/>
        </w:rPr>
      </w:pPr>
      <w:r w:rsidRPr="00BB1B46">
        <w:rPr>
          <w:i/>
          <w:iCs/>
          <w:color w:val="00B0F0"/>
          <w:sz w:val="20"/>
          <w:szCs w:val="20"/>
        </w:rPr>
        <w:t>Airline-Industry-</w:t>
      </w:r>
      <w:r>
        <w:rPr>
          <w:i/>
          <w:iCs/>
          <w:color w:val="00B0F0"/>
          <w:sz w:val="20"/>
          <w:szCs w:val="20"/>
        </w:rPr>
        <w:t>N</w:t>
      </w:r>
      <w:r w:rsidRPr="00BB1B46">
        <w:rPr>
          <w:i/>
          <w:iCs/>
          <w:color w:val="00B0F0"/>
          <w:sz w:val="20"/>
          <w:szCs w:val="20"/>
        </w:rPr>
        <w:t>ews.com</w:t>
      </w:r>
    </w:p>
    <w:p w14:paraId="4AC4CF98" w14:textId="3D5C4F76" w:rsidR="0068140C" w:rsidRPr="001B1B4B" w:rsidRDefault="0068140C" w:rsidP="001B1B4B">
      <w:pPr>
        <w:ind w:left="2124" w:firstLine="708"/>
        <w:rPr>
          <w:b/>
          <w:bCs/>
          <w:color w:val="0070C0"/>
          <w:sz w:val="28"/>
          <w:szCs w:val="28"/>
        </w:rPr>
      </w:pPr>
      <w:r w:rsidRPr="001B1B4B">
        <w:rPr>
          <w:b/>
          <w:bCs/>
          <w:color w:val="0070C0"/>
          <w:sz w:val="28"/>
          <w:szCs w:val="28"/>
        </w:rPr>
        <w:t>I CONTI DELLE AEROLINEE</w:t>
      </w:r>
    </w:p>
    <w:p w14:paraId="19612A40" w14:textId="70BAE506" w:rsidR="0068140C" w:rsidRPr="004F14C6" w:rsidRDefault="0068140C">
      <w:pPr>
        <w:rPr>
          <w:sz w:val="24"/>
          <w:szCs w:val="24"/>
        </w:rPr>
      </w:pPr>
      <w:r w:rsidRPr="004F14C6">
        <w:rPr>
          <w:sz w:val="24"/>
          <w:szCs w:val="24"/>
        </w:rPr>
        <w:t xml:space="preserve">Sia pur fra non pochi ostacoli, le aerolinee cercano di risollevarsi da uno dei periodi più neri della loro centenaria storia, quella della </w:t>
      </w:r>
      <w:proofErr w:type="gramStart"/>
      <w:r w:rsidRPr="004F14C6">
        <w:rPr>
          <w:sz w:val="24"/>
          <w:szCs w:val="24"/>
        </w:rPr>
        <w:t>pandemia  causata</w:t>
      </w:r>
      <w:proofErr w:type="gramEnd"/>
      <w:r w:rsidRPr="004F14C6">
        <w:rPr>
          <w:sz w:val="24"/>
          <w:szCs w:val="24"/>
        </w:rPr>
        <w:t xml:space="preserve"> dal Covid.  All’assemblea generale della Iata tenutasi a Doha a fine </w:t>
      </w:r>
      <w:proofErr w:type="gramStart"/>
      <w:r w:rsidRPr="004F14C6">
        <w:rPr>
          <w:sz w:val="24"/>
          <w:szCs w:val="24"/>
        </w:rPr>
        <w:t>giugno  il</w:t>
      </w:r>
      <w:proofErr w:type="gramEnd"/>
      <w:r w:rsidRPr="004F14C6">
        <w:rPr>
          <w:sz w:val="24"/>
          <w:szCs w:val="24"/>
        </w:rPr>
        <w:t xml:space="preserve"> termine più gettonato è stato “ripresa” (</w:t>
      </w:r>
      <w:r w:rsidRPr="00FF27E8">
        <w:rPr>
          <w:i/>
          <w:iCs/>
          <w:sz w:val="24"/>
          <w:szCs w:val="24"/>
        </w:rPr>
        <w:t>recovery</w:t>
      </w:r>
      <w:r w:rsidRPr="004F14C6">
        <w:rPr>
          <w:sz w:val="24"/>
          <w:szCs w:val="24"/>
        </w:rPr>
        <w:t>). Tutti si sono dichiarati certi che alla fine la ripresa ci sarà, anzi che essa è già iniziata</w:t>
      </w:r>
      <w:r w:rsidR="00335284">
        <w:rPr>
          <w:sz w:val="24"/>
          <w:szCs w:val="24"/>
        </w:rPr>
        <w:t>, e</w:t>
      </w:r>
      <w:r w:rsidRPr="004F14C6">
        <w:rPr>
          <w:sz w:val="24"/>
          <w:szCs w:val="24"/>
        </w:rPr>
        <w:t xml:space="preserve"> nessun indicatore è meglio dei conti delle aerolinee per saggiare se davvero il settore è in ripresa.</w:t>
      </w:r>
    </w:p>
    <w:p w14:paraId="2C554C21" w14:textId="3BEBE7A5" w:rsidR="008830B8" w:rsidRPr="004F14C6" w:rsidRDefault="0068140C" w:rsidP="005312FA">
      <w:pPr>
        <w:spacing w:after="0" w:line="240" w:lineRule="auto"/>
        <w:rPr>
          <w:sz w:val="24"/>
          <w:szCs w:val="24"/>
        </w:rPr>
      </w:pPr>
      <w:r w:rsidRPr="004F14C6">
        <w:rPr>
          <w:sz w:val="24"/>
          <w:szCs w:val="24"/>
        </w:rPr>
        <w:t>A Doha si sono tirate le somme dell’anno 2021</w:t>
      </w:r>
      <w:r w:rsidR="008830B8" w:rsidRPr="004F14C6">
        <w:rPr>
          <w:sz w:val="24"/>
          <w:szCs w:val="24"/>
        </w:rPr>
        <w:t xml:space="preserve">. Le perdite sono assommate a </w:t>
      </w:r>
      <w:r w:rsidR="00335284" w:rsidRPr="00C3699F">
        <w:rPr>
          <w:b/>
          <w:bCs/>
          <w:sz w:val="24"/>
          <w:szCs w:val="24"/>
        </w:rPr>
        <w:t>51,8</w:t>
      </w:r>
      <w:r w:rsidR="008830B8" w:rsidRPr="00C3699F">
        <w:rPr>
          <w:b/>
          <w:bCs/>
          <w:sz w:val="24"/>
          <w:szCs w:val="24"/>
        </w:rPr>
        <w:t xml:space="preserve"> miliardi di dollari</w:t>
      </w:r>
      <w:r w:rsidR="008830B8" w:rsidRPr="004F14C6">
        <w:rPr>
          <w:sz w:val="24"/>
          <w:szCs w:val="24"/>
        </w:rPr>
        <w:t>, un netto miglioramento rispetto a</w:t>
      </w:r>
      <w:r w:rsidR="00DE1042">
        <w:rPr>
          <w:sz w:val="24"/>
          <w:szCs w:val="24"/>
        </w:rPr>
        <w:t>i</w:t>
      </w:r>
      <w:r w:rsidR="008830B8" w:rsidRPr="004F14C6">
        <w:rPr>
          <w:sz w:val="24"/>
          <w:szCs w:val="24"/>
        </w:rPr>
        <w:t xml:space="preserve"> 137,7 miliardi persi nel 2020. Per l’anno corrente si stimano </w:t>
      </w:r>
      <w:r w:rsidR="008830B8" w:rsidRPr="00C3699F">
        <w:rPr>
          <w:b/>
          <w:bCs/>
          <w:sz w:val="24"/>
          <w:szCs w:val="24"/>
        </w:rPr>
        <w:t>perdite per 9,7 miliardi di dollari</w:t>
      </w:r>
      <w:r w:rsidR="008830B8" w:rsidRPr="004F14C6">
        <w:rPr>
          <w:sz w:val="24"/>
          <w:szCs w:val="24"/>
        </w:rPr>
        <w:t>. In numero crescente e con</w:t>
      </w:r>
      <w:r w:rsidR="00335284">
        <w:rPr>
          <w:sz w:val="24"/>
          <w:szCs w:val="24"/>
        </w:rPr>
        <w:t xml:space="preserve"> uguale </w:t>
      </w:r>
      <w:proofErr w:type="gramStart"/>
      <w:r w:rsidR="00335284">
        <w:rPr>
          <w:sz w:val="24"/>
          <w:szCs w:val="24"/>
        </w:rPr>
        <w:t>crescente</w:t>
      </w:r>
      <w:r w:rsidR="008830B8" w:rsidRPr="004F14C6">
        <w:rPr>
          <w:sz w:val="24"/>
          <w:szCs w:val="24"/>
        </w:rPr>
        <w:t xml:space="preserve">  entusiasmo</w:t>
      </w:r>
      <w:proofErr w:type="gramEnd"/>
      <w:r w:rsidR="008830B8" w:rsidRPr="004F14C6">
        <w:rPr>
          <w:sz w:val="24"/>
          <w:szCs w:val="24"/>
        </w:rPr>
        <w:t xml:space="preserve">, le persone </w:t>
      </w:r>
      <w:r w:rsidR="00D22F90">
        <w:rPr>
          <w:sz w:val="24"/>
          <w:szCs w:val="24"/>
        </w:rPr>
        <w:t xml:space="preserve">vorrebbero </w:t>
      </w:r>
      <w:r w:rsidR="008830B8" w:rsidRPr="004F14C6">
        <w:rPr>
          <w:sz w:val="24"/>
          <w:szCs w:val="24"/>
        </w:rPr>
        <w:t>tornano a godere della</w:t>
      </w:r>
      <w:r w:rsidR="00335284">
        <w:rPr>
          <w:sz w:val="24"/>
          <w:szCs w:val="24"/>
        </w:rPr>
        <w:t xml:space="preserve"> </w:t>
      </w:r>
      <w:r w:rsidR="008830B8" w:rsidRPr="004F14C6">
        <w:rPr>
          <w:sz w:val="24"/>
          <w:szCs w:val="24"/>
        </w:rPr>
        <w:t>libertà di viaggiare, di connettersi</w:t>
      </w:r>
      <w:r w:rsidR="005312FA" w:rsidRPr="004F14C6">
        <w:rPr>
          <w:sz w:val="24"/>
          <w:szCs w:val="24"/>
        </w:rPr>
        <w:t xml:space="preserve"> </w:t>
      </w:r>
      <w:r w:rsidR="008830B8" w:rsidRPr="004F14C6">
        <w:rPr>
          <w:sz w:val="24"/>
          <w:szCs w:val="24"/>
        </w:rPr>
        <w:t xml:space="preserve">gli uni con gli altri e di </w:t>
      </w:r>
      <w:r w:rsidR="00BB5DF6">
        <w:rPr>
          <w:sz w:val="24"/>
          <w:szCs w:val="24"/>
        </w:rPr>
        <w:t>girare per</w:t>
      </w:r>
      <w:r w:rsidR="008830B8" w:rsidRPr="004F14C6">
        <w:rPr>
          <w:sz w:val="24"/>
          <w:szCs w:val="24"/>
        </w:rPr>
        <w:t xml:space="preserve"> il</w:t>
      </w:r>
      <w:r w:rsidR="005312FA" w:rsidRPr="004F14C6">
        <w:rPr>
          <w:sz w:val="24"/>
          <w:szCs w:val="24"/>
        </w:rPr>
        <w:t xml:space="preserve"> </w:t>
      </w:r>
      <w:r w:rsidR="008830B8" w:rsidRPr="004F14C6">
        <w:rPr>
          <w:sz w:val="24"/>
          <w:szCs w:val="24"/>
        </w:rPr>
        <w:t xml:space="preserve">mondo. </w:t>
      </w:r>
      <w:proofErr w:type="gramStart"/>
      <w:r w:rsidR="00D22F90">
        <w:rPr>
          <w:sz w:val="24"/>
          <w:szCs w:val="24"/>
        </w:rPr>
        <w:t>E’</w:t>
      </w:r>
      <w:proofErr w:type="gramEnd"/>
      <w:r w:rsidR="00D22F90">
        <w:rPr>
          <w:sz w:val="24"/>
          <w:szCs w:val="24"/>
        </w:rPr>
        <w:t xml:space="preserve"> su questa speranza che l</w:t>
      </w:r>
      <w:r w:rsidR="00BB5DF6">
        <w:rPr>
          <w:sz w:val="24"/>
          <w:szCs w:val="24"/>
        </w:rPr>
        <w:t xml:space="preserve">a Iata stima che </w:t>
      </w:r>
      <w:r w:rsidR="00290262">
        <w:rPr>
          <w:sz w:val="24"/>
          <w:szCs w:val="24"/>
        </w:rPr>
        <w:t>e</w:t>
      </w:r>
      <w:r w:rsidR="008830B8" w:rsidRPr="004F14C6">
        <w:rPr>
          <w:sz w:val="24"/>
          <w:szCs w:val="24"/>
        </w:rPr>
        <w:t>ntro la fine del 2023, la maggior parte delle</w:t>
      </w:r>
      <w:r w:rsidR="005312FA" w:rsidRPr="004F14C6">
        <w:rPr>
          <w:sz w:val="24"/>
          <w:szCs w:val="24"/>
        </w:rPr>
        <w:t xml:space="preserve"> </w:t>
      </w:r>
      <w:r w:rsidR="008830B8" w:rsidRPr="004F14C6">
        <w:rPr>
          <w:sz w:val="24"/>
          <w:szCs w:val="24"/>
        </w:rPr>
        <w:t>regioni raggiungeranno o supereranno i livelli</w:t>
      </w:r>
      <w:r w:rsidR="005312FA" w:rsidRPr="004F14C6">
        <w:rPr>
          <w:sz w:val="24"/>
          <w:szCs w:val="24"/>
        </w:rPr>
        <w:t xml:space="preserve"> </w:t>
      </w:r>
      <w:r w:rsidR="008830B8" w:rsidRPr="004F14C6">
        <w:rPr>
          <w:sz w:val="24"/>
          <w:szCs w:val="24"/>
        </w:rPr>
        <w:t>di domanda precedenti alla pandemia.</w:t>
      </w:r>
    </w:p>
    <w:p w14:paraId="362FCD76" w14:textId="77777777" w:rsidR="00615F83" w:rsidRPr="004F14C6" w:rsidRDefault="00615F83" w:rsidP="005312FA">
      <w:pPr>
        <w:spacing w:after="0" w:line="240" w:lineRule="auto"/>
        <w:rPr>
          <w:sz w:val="24"/>
          <w:szCs w:val="24"/>
        </w:rPr>
      </w:pPr>
    </w:p>
    <w:p w14:paraId="6329C308" w14:textId="71AA634D" w:rsidR="00615F83" w:rsidRPr="004F14C6" w:rsidRDefault="00615F83" w:rsidP="00615F83">
      <w:pPr>
        <w:spacing w:after="0" w:line="240" w:lineRule="auto"/>
        <w:rPr>
          <w:sz w:val="24"/>
          <w:szCs w:val="24"/>
        </w:rPr>
      </w:pPr>
      <w:r w:rsidRPr="004F14C6">
        <w:rPr>
          <w:sz w:val="24"/>
          <w:szCs w:val="24"/>
        </w:rPr>
        <w:t>Nel 2021 i ricavi delle merci e dei passeggeri sono aumentati</w:t>
      </w:r>
      <w:r w:rsidR="00B3756A" w:rsidRPr="004F14C6">
        <w:rPr>
          <w:sz w:val="24"/>
          <w:szCs w:val="24"/>
        </w:rPr>
        <w:t xml:space="preserve"> </w:t>
      </w:r>
      <w:r w:rsidRPr="004F14C6">
        <w:rPr>
          <w:sz w:val="24"/>
          <w:szCs w:val="24"/>
        </w:rPr>
        <w:t>ma restano lontani dai livelli pre-crisi</w:t>
      </w:r>
    </w:p>
    <w:p w14:paraId="236E2FB2" w14:textId="36D1B161" w:rsidR="00615F83" w:rsidRPr="004F14C6" w:rsidRDefault="00615F83" w:rsidP="00615F83">
      <w:pPr>
        <w:spacing w:after="0" w:line="240" w:lineRule="auto"/>
        <w:rPr>
          <w:sz w:val="24"/>
          <w:szCs w:val="24"/>
        </w:rPr>
      </w:pPr>
      <w:r w:rsidRPr="004F14C6">
        <w:rPr>
          <w:sz w:val="24"/>
          <w:szCs w:val="24"/>
        </w:rPr>
        <w:t>I</w:t>
      </w:r>
      <w:r w:rsidR="002A4862">
        <w:rPr>
          <w:sz w:val="24"/>
          <w:szCs w:val="24"/>
        </w:rPr>
        <w:t xml:space="preserve">n particolare una boccata di ossigeno è venuto dai </w:t>
      </w:r>
      <w:r w:rsidR="002A4862" w:rsidRPr="00C3699F">
        <w:rPr>
          <w:b/>
          <w:bCs/>
          <w:sz w:val="24"/>
          <w:szCs w:val="24"/>
        </w:rPr>
        <w:t>ricavi cargo</w:t>
      </w:r>
      <w:r w:rsidRPr="00C3699F">
        <w:rPr>
          <w:b/>
          <w:bCs/>
          <w:sz w:val="24"/>
          <w:szCs w:val="24"/>
        </w:rPr>
        <w:t xml:space="preserve"> aumentati di quasi il</w:t>
      </w:r>
      <w:r w:rsidR="00B3756A" w:rsidRPr="00C3699F">
        <w:rPr>
          <w:b/>
          <w:bCs/>
          <w:sz w:val="24"/>
          <w:szCs w:val="24"/>
        </w:rPr>
        <w:t xml:space="preserve"> </w:t>
      </w:r>
      <w:r w:rsidRPr="00C3699F">
        <w:rPr>
          <w:b/>
          <w:bCs/>
          <w:sz w:val="24"/>
          <w:szCs w:val="24"/>
        </w:rPr>
        <w:t>75%</w:t>
      </w:r>
      <w:r w:rsidRPr="004F14C6">
        <w:rPr>
          <w:sz w:val="24"/>
          <w:szCs w:val="24"/>
        </w:rPr>
        <w:t xml:space="preserve"> nel 2021 rispetto al 2019, grazie alla forte domanda e ai rendimenti</w:t>
      </w:r>
      <w:r w:rsidR="00EA3D59">
        <w:rPr>
          <w:sz w:val="24"/>
          <w:szCs w:val="24"/>
        </w:rPr>
        <w:t>.</w:t>
      </w:r>
      <w:r w:rsidRPr="004F14C6">
        <w:rPr>
          <w:sz w:val="24"/>
          <w:szCs w:val="24"/>
        </w:rPr>
        <w:t xml:space="preserve"> Questo, tuttavia, non è stato</w:t>
      </w:r>
      <w:r w:rsidR="00B3756A" w:rsidRPr="004F14C6">
        <w:rPr>
          <w:sz w:val="24"/>
          <w:szCs w:val="24"/>
        </w:rPr>
        <w:t xml:space="preserve"> </w:t>
      </w:r>
      <w:r w:rsidRPr="004F14C6">
        <w:rPr>
          <w:sz w:val="24"/>
          <w:szCs w:val="24"/>
        </w:rPr>
        <w:t>sufficiente a compensare il calo de</w:t>
      </w:r>
      <w:r w:rsidR="00C67A8E">
        <w:rPr>
          <w:sz w:val="24"/>
          <w:szCs w:val="24"/>
        </w:rPr>
        <w:t>l revenue</w:t>
      </w:r>
      <w:r w:rsidRPr="004F14C6">
        <w:rPr>
          <w:sz w:val="24"/>
          <w:szCs w:val="24"/>
        </w:rPr>
        <w:t xml:space="preserve"> de</w:t>
      </w:r>
      <w:r w:rsidR="00FD4606">
        <w:rPr>
          <w:sz w:val="24"/>
          <w:szCs w:val="24"/>
        </w:rPr>
        <w:t>lle entrate passeggeri</w:t>
      </w:r>
      <w:r w:rsidRPr="004F14C6">
        <w:rPr>
          <w:sz w:val="24"/>
          <w:szCs w:val="24"/>
        </w:rPr>
        <w:t>,</w:t>
      </w:r>
      <w:r w:rsidR="00B3756A" w:rsidRPr="004F14C6">
        <w:rPr>
          <w:sz w:val="24"/>
          <w:szCs w:val="24"/>
        </w:rPr>
        <w:t xml:space="preserve"> </w:t>
      </w:r>
      <w:r w:rsidRPr="004F14C6">
        <w:rPr>
          <w:sz w:val="24"/>
          <w:szCs w:val="24"/>
        </w:rPr>
        <w:t>che nel 2021 erano ancora inferiori di oltre il 60% rispetto al livello del 2019.</w:t>
      </w:r>
    </w:p>
    <w:p w14:paraId="43C0EBEA" w14:textId="03CD8A7A" w:rsidR="00615F83" w:rsidRDefault="00615F83" w:rsidP="00615F83">
      <w:pPr>
        <w:spacing w:after="0" w:line="240" w:lineRule="auto"/>
        <w:rPr>
          <w:sz w:val="24"/>
          <w:szCs w:val="24"/>
        </w:rPr>
      </w:pPr>
      <w:r w:rsidRPr="004F14C6">
        <w:rPr>
          <w:sz w:val="24"/>
          <w:szCs w:val="24"/>
        </w:rPr>
        <w:t>Ciò ha fatto sì che i ricavi complessivi delle compagnie aeree nel 2021 siano stati inferiori del 57% a quelli del 2019.</w:t>
      </w:r>
      <w:r w:rsidR="000D24E8" w:rsidRPr="004F14C6">
        <w:rPr>
          <w:sz w:val="24"/>
          <w:szCs w:val="24"/>
        </w:rPr>
        <w:t xml:space="preserve"> </w:t>
      </w:r>
    </w:p>
    <w:p w14:paraId="3F8B6763" w14:textId="77777777" w:rsidR="002D6C56" w:rsidRDefault="002D6C56" w:rsidP="00615F83">
      <w:pPr>
        <w:spacing w:after="0" w:line="240" w:lineRule="auto"/>
        <w:rPr>
          <w:sz w:val="24"/>
          <w:szCs w:val="24"/>
        </w:rPr>
      </w:pPr>
    </w:p>
    <w:p w14:paraId="377130FE" w14:textId="014F0B59" w:rsidR="002D6C56" w:rsidRDefault="002D6C56" w:rsidP="002B7BE3">
      <w:pPr>
        <w:spacing w:after="0" w:line="240" w:lineRule="auto"/>
        <w:jc w:val="center"/>
        <w:rPr>
          <w:sz w:val="24"/>
          <w:szCs w:val="24"/>
        </w:rPr>
      </w:pPr>
      <w:r w:rsidRPr="002D6C56">
        <w:rPr>
          <w:noProof/>
          <w:sz w:val="24"/>
          <w:szCs w:val="24"/>
          <w:bdr w:val="single" w:sz="12" w:space="0" w:color="auto"/>
        </w:rPr>
        <w:drawing>
          <wp:inline distT="0" distB="0" distL="0" distR="0" wp14:anchorId="65BED98C" wp14:editId="0502784D">
            <wp:extent cx="2455200" cy="1854000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18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7BE3" w:rsidRPr="002B7BE3">
        <w:rPr>
          <w:noProof/>
          <w:sz w:val="24"/>
          <w:szCs w:val="24"/>
          <w:bdr w:val="single" w:sz="12" w:space="0" w:color="auto"/>
        </w:rPr>
        <w:drawing>
          <wp:inline distT="0" distB="0" distL="0" distR="0" wp14:anchorId="50730B81" wp14:editId="4ACDD17A">
            <wp:extent cx="2538000" cy="1864800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000" cy="18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8A5BA" w14:textId="07197381" w:rsidR="009950DE" w:rsidRPr="009950DE" w:rsidRDefault="009950DE" w:rsidP="002B7BE3">
      <w:pPr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Tabelle tratte dall’Annual Review della </w:t>
      </w:r>
      <w:r w:rsidR="00C71D0E">
        <w:rPr>
          <w:i/>
          <w:iCs/>
          <w:sz w:val="20"/>
          <w:szCs w:val="20"/>
        </w:rPr>
        <w:t>I</w:t>
      </w:r>
      <w:r>
        <w:rPr>
          <w:i/>
          <w:iCs/>
          <w:sz w:val="20"/>
          <w:szCs w:val="20"/>
        </w:rPr>
        <w:t>ata 2022.</w:t>
      </w:r>
      <w:r w:rsidR="00C71D0E">
        <w:rPr>
          <w:i/>
          <w:iCs/>
          <w:sz w:val="20"/>
          <w:szCs w:val="20"/>
        </w:rPr>
        <w:t xml:space="preserve"> La tabella a sinistra mostra</w:t>
      </w:r>
      <w:r w:rsidR="009B1A91">
        <w:rPr>
          <w:i/>
          <w:iCs/>
          <w:sz w:val="20"/>
          <w:szCs w:val="20"/>
        </w:rPr>
        <w:t xml:space="preserve"> le entrate delle aerolinee, passeggeri e cargo, per il p</w:t>
      </w:r>
      <w:r w:rsidR="004517AB">
        <w:rPr>
          <w:i/>
          <w:iCs/>
          <w:sz w:val="20"/>
          <w:szCs w:val="20"/>
        </w:rPr>
        <w:t>e</w:t>
      </w:r>
      <w:r w:rsidR="009B1A91">
        <w:rPr>
          <w:i/>
          <w:iCs/>
          <w:sz w:val="20"/>
          <w:szCs w:val="20"/>
        </w:rPr>
        <w:t>riodo 2015:2021</w:t>
      </w:r>
      <w:r w:rsidR="004D1ECD">
        <w:rPr>
          <w:i/>
          <w:iCs/>
          <w:sz w:val="20"/>
          <w:szCs w:val="20"/>
        </w:rPr>
        <w:t>. La tabella a destra mostra il risultato finale di eserc</w:t>
      </w:r>
      <w:r w:rsidR="008F2109">
        <w:rPr>
          <w:i/>
          <w:iCs/>
          <w:sz w:val="20"/>
          <w:szCs w:val="20"/>
        </w:rPr>
        <w:t>i</w:t>
      </w:r>
      <w:r w:rsidR="004D1ECD">
        <w:rPr>
          <w:i/>
          <w:iCs/>
          <w:sz w:val="20"/>
          <w:szCs w:val="20"/>
        </w:rPr>
        <w:t>z</w:t>
      </w:r>
      <w:r w:rsidR="008F2109">
        <w:rPr>
          <w:i/>
          <w:iCs/>
          <w:sz w:val="20"/>
          <w:szCs w:val="20"/>
        </w:rPr>
        <w:t>i</w:t>
      </w:r>
      <w:r w:rsidR="004D1ECD">
        <w:rPr>
          <w:i/>
          <w:iCs/>
          <w:sz w:val="20"/>
          <w:szCs w:val="20"/>
        </w:rPr>
        <w:t>o (pos</w:t>
      </w:r>
      <w:r w:rsidR="0084678C">
        <w:rPr>
          <w:i/>
          <w:iCs/>
          <w:sz w:val="20"/>
          <w:szCs w:val="20"/>
        </w:rPr>
        <w:t>t</w:t>
      </w:r>
      <w:r w:rsidR="004D1ECD">
        <w:rPr>
          <w:i/>
          <w:iCs/>
          <w:sz w:val="20"/>
          <w:szCs w:val="20"/>
        </w:rPr>
        <w:t>tax)</w:t>
      </w:r>
      <w:r w:rsidR="0084678C">
        <w:rPr>
          <w:i/>
          <w:iCs/>
          <w:sz w:val="20"/>
          <w:szCs w:val="20"/>
        </w:rPr>
        <w:t xml:space="preserve"> degli anni 2015:2021</w:t>
      </w:r>
      <w:r w:rsidR="004517AB">
        <w:rPr>
          <w:i/>
          <w:iCs/>
          <w:sz w:val="20"/>
          <w:szCs w:val="20"/>
        </w:rPr>
        <w:t xml:space="preserve"> </w:t>
      </w:r>
      <w:r w:rsidR="006161C7">
        <w:rPr>
          <w:i/>
          <w:iCs/>
          <w:sz w:val="20"/>
          <w:szCs w:val="20"/>
        </w:rPr>
        <w:t>i</w:t>
      </w:r>
      <w:r w:rsidR="004517AB">
        <w:rPr>
          <w:i/>
          <w:iCs/>
          <w:sz w:val="20"/>
          <w:szCs w:val="20"/>
        </w:rPr>
        <w:t>n miliardi di dollari</w:t>
      </w:r>
      <w:r w:rsidR="006161C7">
        <w:rPr>
          <w:i/>
          <w:iCs/>
          <w:sz w:val="20"/>
          <w:szCs w:val="20"/>
        </w:rPr>
        <w:t>.</w:t>
      </w:r>
    </w:p>
    <w:p w14:paraId="055574FF" w14:textId="77777777" w:rsidR="00254075" w:rsidRDefault="00254075" w:rsidP="00427449">
      <w:pPr>
        <w:spacing w:after="0" w:line="240" w:lineRule="auto"/>
        <w:rPr>
          <w:i/>
          <w:iCs/>
          <w:sz w:val="24"/>
          <w:szCs w:val="24"/>
        </w:rPr>
      </w:pPr>
    </w:p>
    <w:p w14:paraId="742C2EC0" w14:textId="16E4EDA9" w:rsidR="00321C97" w:rsidRPr="00321C97" w:rsidRDefault="00F96B06" w:rsidP="00321C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Sul fronte delle uscite, c</w:t>
      </w:r>
      <w:r w:rsidR="00321C97" w:rsidRPr="00321C97">
        <w:rPr>
          <w:sz w:val="24"/>
          <w:szCs w:val="24"/>
        </w:rPr>
        <w:t xml:space="preserve">on 192 miliardi di dollari, </w:t>
      </w:r>
      <w:r w:rsidR="00321C97" w:rsidRPr="004C1B17">
        <w:rPr>
          <w:b/>
          <w:bCs/>
          <w:sz w:val="24"/>
          <w:szCs w:val="24"/>
        </w:rPr>
        <w:t xml:space="preserve">il carburante </w:t>
      </w:r>
      <w:r w:rsidR="002A053F" w:rsidRPr="004C1B17">
        <w:rPr>
          <w:b/>
          <w:bCs/>
          <w:sz w:val="24"/>
          <w:szCs w:val="24"/>
        </w:rPr>
        <w:t>rimane</w:t>
      </w:r>
      <w:r w:rsidR="00321C97" w:rsidRPr="004C1B17">
        <w:rPr>
          <w:b/>
          <w:bCs/>
          <w:sz w:val="24"/>
          <w:szCs w:val="24"/>
        </w:rPr>
        <w:t xml:space="preserve"> la voce di costo più </w:t>
      </w:r>
      <w:r w:rsidR="006161C7" w:rsidRPr="004C1B17">
        <w:rPr>
          <w:b/>
          <w:bCs/>
          <w:sz w:val="24"/>
          <w:szCs w:val="24"/>
        </w:rPr>
        <w:t>pes</w:t>
      </w:r>
      <w:r w:rsidR="00321C97" w:rsidRPr="004C1B17">
        <w:rPr>
          <w:b/>
          <w:bCs/>
          <w:sz w:val="24"/>
          <w:szCs w:val="24"/>
        </w:rPr>
        <w:t>ante</w:t>
      </w:r>
      <w:r w:rsidR="00321C97" w:rsidRPr="00321C97">
        <w:rPr>
          <w:sz w:val="24"/>
          <w:szCs w:val="24"/>
        </w:rPr>
        <w:t xml:space="preserve"> del settore</w:t>
      </w:r>
      <w:r>
        <w:rPr>
          <w:sz w:val="24"/>
          <w:szCs w:val="24"/>
        </w:rPr>
        <w:t>.</w:t>
      </w:r>
      <w:r w:rsidR="00321C97" w:rsidRPr="00321C97">
        <w:rPr>
          <w:sz w:val="24"/>
          <w:szCs w:val="24"/>
        </w:rPr>
        <w:t xml:space="preserve"> </w:t>
      </w:r>
      <w:r w:rsidR="00DC5660">
        <w:rPr>
          <w:sz w:val="24"/>
          <w:szCs w:val="24"/>
        </w:rPr>
        <w:t xml:space="preserve">Questa la spesa prevista </w:t>
      </w:r>
      <w:r w:rsidR="00321C97" w:rsidRPr="00321C97">
        <w:rPr>
          <w:sz w:val="24"/>
          <w:szCs w:val="24"/>
        </w:rPr>
        <w:t>nel 2022 (24% dei costi complessivi, rispetto al 19% del 2021). Questo dato si basa su un prezzo medio previsto per il greggio Brent di 101,2 dollari al barile e di 125,5 dollari per il cherosene per jet. Si prevede che le compagnie aeree consumino 321 miliardi di litri di carburante nel 2022 rispetto ai 359 miliardi di litri consumati nel 2019.</w:t>
      </w:r>
    </w:p>
    <w:p w14:paraId="5428070A" w14:textId="11F49F48" w:rsidR="00321C97" w:rsidRPr="00D55336" w:rsidRDefault="00321C97" w:rsidP="00321C97">
      <w:pPr>
        <w:spacing w:after="0" w:line="240" w:lineRule="auto"/>
        <w:rPr>
          <w:color w:val="FF0000"/>
          <w:sz w:val="18"/>
          <w:szCs w:val="18"/>
        </w:rPr>
      </w:pPr>
      <w:r w:rsidRPr="00321C97">
        <w:rPr>
          <w:sz w:val="24"/>
          <w:szCs w:val="24"/>
        </w:rPr>
        <w:t>La guerra in Ucraina mantiene alti i prezzi del greggio Brent</w:t>
      </w:r>
      <w:r w:rsidR="00FF1CAD">
        <w:rPr>
          <w:sz w:val="24"/>
          <w:szCs w:val="24"/>
        </w:rPr>
        <w:t xml:space="preserve"> ed è per questo che la voce</w:t>
      </w:r>
      <w:r w:rsidRPr="00321C97">
        <w:rPr>
          <w:sz w:val="24"/>
          <w:szCs w:val="24"/>
        </w:rPr>
        <w:t xml:space="preserve"> carburante rappresenterà circa un quarto dei costi nel 2022. Una caratteristica particolare del mercato dei carburanti di quest'anno è l'elevato spread tra i prezzi del greggio e del jet fuel. Lo spread del jet crack rimane ben al di sopra delle norme storiche, soprattutto a causa dei limiti di capacità delle </w:t>
      </w:r>
      <w:r w:rsidRPr="00321C97">
        <w:rPr>
          <w:sz w:val="24"/>
          <w:szCs w:val="24"/>
        </w:rPr>
        <w:lastRenderedPageBreak/>
        <w:t xml:space="preserve">raffinerie. I mancati investimenti in questo settore potrebbero far sì che lo spread rimanga elevato fino al 2023. </w:t>
      </w:r>
      <w:r w:rsidR="00FF1CAD">
        <w:rPr>
          <w:sz w:val="24"/>
          <w:szCs w:val="24"/>
        </w:rPr>
        <w:t>I</w:t>
      </w:r>
      <w:r w:rsidRPr="00321C97">
        <w:rPr>
          <w:sz w:val="24"/>
          <w:szCs w:val="24"/>
        </w:rPr>
        <w:t xml:space="preserve"> prezzi elevati del petrolio e del carburante dovrebbero indurre le compagnie aeree a migliorare l'efficienza del carburante, sia attraverso l'uso di aeromobili più efficienti che attraverso decisioni operative.</w:t>
      </w:r>
      <w:r w:rsidR="00D55336">
        <w:rPr>
          <w:sz w:val="24"/>
          <w:szCs w:val="24"/>
        </w:rPr>
        <w:t xml:space="preserve"> </w:t>
      </w:r>
      <w:r w:rsidR="00D55336" w:rsidRPr="00D55336">
        <w:rPr>
          <w:color w:val="FF0000"/>
          <w:sz w:val="18"/>
          <w:szCs w:val="18"/>
        </w:rPr>
        <w:t>(1)</w:t>
      </w:r>
    </w:p>
    <w:p w14:paraId="63EFD405" w14:textId="41548597" w:rsidR="006C55B1" w:rsidRPr="006C55B1" w:rsidRDefault="006C55B1" w:rsidP="006C55B1">
      <w:pPr>
        <w:spacing w:after="0" w:line="240" w:lineRule="auto"/>
        <w:rPr>
          <w:sz w:val="24"/>
          <w:szCs w:val="24"/>
        </w:rPr>
      </w:pPr>
      <w:r w:rsidRPr="006A2B56">
        <w:rPr>
          <w:b/>
          <w:bCs/>
          <w:sz w:val="24"/>
          <w:szCs w:val="24"/>
        </w:rPr>
        <w:t>La manodopera è la seconda voce di costo</w:t>
      </w:r>
      <w:r w:rsidRPr="006C55B1">
        <w:rPr>
          <w:sz w:val="24"/>
          <w:szCs w:val="24"/>
        </w:rPr>
        <w:t xml:space="preserve"> operativo più alta per le compagnie aeree. Si prevede che l'occupazione diretta nel settore raggiunga i 2,7 milioni, con un aumento del 4,3% rispetto al 2021, in quanto il settore si sta riprendendo dal significativo calo di attività del 2020. </w:t>
      </w:r>
      <w:r w:rsidRPr="000071FD">
        <w:rPr>
          <w:b/>
          <w:bCs/>
          <w:sz w:val="24"/>
          <w:szCs w:val="24"/>
        </w:rPr>
        <w:t>Tuttavia, l'occupazione è ancora leggermente inferiore ai 2,93 milioni di posti di lavoro del 2019 e si prevede che rimarrà al di sotto di questo livello per qualche tempo.</w:t>
      </w:r>
      <w:r w:rsidRPr="006C55B1">
        <w:rPr>
          <w:sz w:val="24"/>
          <w:szCs w:val="24"/>
        </w:rPr>
        <w:t xml:space="preserve"> </w:t>
      </w:r>
      <w:r w:rsidR="000071FD" w:rsidRPr="00285768">
        <w:rPr>
          <w:b/>
          <w:bCs/>
          <w:sz w:val="24"/>
          <w:szCs w:val="24"/>
        </w:rPr>
        <w:t>Questo particolare spie</w:t>
      </w:r>
      <w:r w:rsidR="0096608D" w:rsidRPr="00285768">
        <w:rPr>
          <w:b/>
          <w:bCs/>
          <w:sz w:val="24"/>
          <w:szCs w:val="24"/>
        </w:rPr>
        <w:t xml:space="preserve">ga i disagi riscontrati negli </w:t>
      </w:r>
      <w:proofErr w:type="gramStart"/>
      <w:r w:rsidR="0096608D" w:rsidRPr="00285768">
        <w:rPr>
          <w:b/>
          <w:bCs/>
          <w:sz w:val="24"/>
          <w:szCs w:val="24"/>
        </w:rPr>
        <w:t>scali  durante</w:t>
      </w:r>
      <w:proofErr w:type="gramEnd"/>
      <w:r w:rsidR="0096608D" w:rsidRPr="00285768">
        <w:rPr>
          <w:b/>
          <w:bCs/>
          <w:sz w:val="24"/>
          <w:szCs w:val="24"/>
        </w:rPr>
        <w:t xml:space="preserve">  gli attuali picchi di traffico </w:t>
      </w:r>
      <w:r w:rsidR="00285768" w:rsidRPr="00285768">
        <w:rPr>
          <w:b/>
          <w:bCs/>
          <w:sz w:val="24"/>
          <w:szCs w:val="24"/>
        </w:rPr>
        <w:t>da alta stagione.</w:t>
      </w:r>
      <w:r w:rsidR="00285768">
        <w:rPr>
          <w:sz w:val="24"/>
          <w:szCs w:val="24"/>
        </w:rPr>
        <w:t xml:space="preserve"> </w:t>
      </w:r>
      <w:r w:rsidRPr="006C55B1">
        <w:rPr>
          <w:sz w:val="24"/>
          <w:szCs w:val="24"/>
        </w:rPr>
        <w:t>Il costo unitario del lavoro dovrebbe essere di 12,2 centesimi di dollaro/tonnellata chilometro disponibile (ATK) nel 2022, tornando sostanzialmente ai livelli del 2019, quando era di 12,3 centesimi di dollaro/ATK.</w:t>
      </w:r>
    </w:p>
    <w:p w14:paraId="02A5B4F6" w14:textId="77777777" w:rsidR="006C55B1" w:rsidRPr="006C55B1" w:rsidRDefault="006C55B1" w:rsidP="006C55B1">
      <w:pPr>
        <w:spacing w:after="0" w:line="240" w:lineRule="auto"/>
        <w:rPr>
          <w:sz w:val="24"/>
          <w:szCs w:val="24"/>
        </w:rPr>
      </w:pPr>
    </w:p>
    <w:p w14:paraId="2A1BFF7C" w14:textId="77777777" w:rsidR="006C55B1" w:rsidRPr="006C55B1" w:rsidRDefault="006C55B1" w:rsidP="006C55B1">
      <w:pPr>
        <w:spacing w:after="0" w:line="240" w:lineRule="auto"/>
        <w:rPr>
          <w:sz w:val="24"/>
          <w:szCs w:val="24"/>
        </w:rPr>
      </w:pPr>
      <w:r w:rsidRPr="006C55B1">
        <w:rPr>
          <w:sz w:val="24"/>
          <w:szCs w:val="24"/>
        </w:rPr>
        <w:t>Il tempo necessario per reclutare, formare, completare i controlli di sicurezza e di background ed eseguire altri processi necessari prima che il personale sia "pronto per il lavoro" rappresenta una sfida per il settore nel 2022. In alcuni casi, i ritardi nell'assunzione possono rappresentare un limite alla capacità di una compagnia aerea di soddisfare la domanda dei passeggeri.</w:t>
      </w:r>
    </w:p>
    <w:p w14:paraId="0F2501C8" w14:textId="77777777" w:rsidR="006C55B1" w:rsidRPr="006C55B1" w:rsidRDefault="006C55B1" w:rsidP="006C55B1">
      <w:pPr>
        <w:spacing w:after="0" w:line="240" w:lineRule="auto"/>
        <w:rPr>
          <w:sz w:val="24"/>
          <w:szCs w:val="24"/>
        </w:rPr>
      </w:pPr>
    </w:p>
    <w:p w14:paraId="19C215F3" w14:textId="77777777" w:rsidR="006C55B1" w:rsidRPr="006C55B1" w:rsidRDefault="006C55B1" w:rsidP="006C55B1">
      <w:pPr>
        <w:spacing w:after="0" w:line="240" w:lineRule="auto"/>
        <w:rPr>
          <w:sz w:val="24"/>
          <w:szCs w:val="24"/>
        </w:rPr>
      </w:pPr>
      <w:r w:rsidRPr="006C55B1">
        <w:rPr>
          <w:sz w:val="24"/>
          <w:szCs w:val="24"/>
        </w:rPr>
        <w:t>Nei Paesi in cui la ripresa economica dopo la pandemia è stata rapida e il tasso di disoccupazione è basso, è probabile che la tensione del mercato del lavoro e la carenza di competenze contribuiscano ad aumentare la pressione sui salari. Si prevede che la massa salariale del settore raggiungerà i 173 miliardi di dollari nel 2022, con un aumento del 7,9% rispetto al 2021, sproporzionato rispetto all'aumento del 4,3% dei posti di lavoro totali.</w:t>
      </w:r>
    </w:p>
    <w:p w14:paraId="45D0B8E9" w14:textId="77777777" w:rsidR="006C55B1" w:rsidRPr="006C55B1" w:rsidRDefault="006C55B1" w:rsidP="006C55B1">
      <w:pPr>
        <w:spacing w:after="0" w:line="240" w:lineRule="auto"/>
        <w:rPr>
          <w:sz w:val="24"/>
          <w:szCs w:val="24"/>
        </w:rPr>
      </w:pPr>
    </w:p>
    <w:p w14:paraId="52527A0D" w14:textId="7B7F9874" w:rsidR="00427449" w:rsidRDefault="00427449" w:rsidP="004274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Venendo ai più recenti risultati</w:t>
      </w:r>
      <w:r w:rsidR="007E3D31">
        <w:rPr>
          <w:sz w:val="24"/>
          <w:szCs w:val="24"/>
        </w:rPr>
        <w:t>,</w:t>
      </w:r>
      <w:r>
        <w:rPr>
          <w:sz w:val="24"/>
          <w:szCs w:val="24"/>
        </w:rPr>
        <w:t xml:space="preserve"> quelli chiusi a Maggio 2022</w:t>
      </w:r>
      <w:r w:rsidR="009D659A">
        <w:rPr>
          <w:sz w:val="24"/>
          <w:szCs w:val="24"/>
        </w:rPr>
        <w:t xml:space="preserve">, </w:t>
      </w:r>
      <w:r w:rsidR="00176F20">
        <w:rPr>
          <w:sz w:val="24"/>
          <w:szCs w:val="24"/>
        </w:rPr>
        <w:t>la regione</w:t>
      </w:r>
      <w:r w:rsidR="005638DE">
        <w:rPr>
          <w:sz w:val="24"/>
          <w:szCs w:val="24"/>
        </w:rPr>
        <w:t xml:space="preserve"> in testa per movimento passeggeri rimane quell</w:t>
      </w:r>
      <w:r w:rsidR="00176F20">
        <w:rPr>
          <w:sz w:val="24"/>
          <w:szCs w:val="24"/>
        </w:rPr>
        <w:t>a</w:t>
      </w:r>
      <w:r w:rsidR="005638DE">
        <w:rPr>
          <w:sz w:val="24"/>
          <w:szCs w:val="24"/>
        </w:rPr>
        <w:t xml:space="preserve"> del Nord America </w:t>
      </w:r>
      <w:r w:rsidR="009D6805">
        <w:rPr>
          <w:sz w:val="24"/>
          <w:szCs w:val="24"/>
        </w:rPr>
        <w:t>con il 32,6% seguit</w:t>
      </w:r>
      <w:r w:rsidR="00B00037">
        <w:rPr>
          <w:sz w:val="24"/>
          <w:szCs w:val="24"/>
        </w:rPr>
        <w:t>a</w:t>
      </w:r>
      <w:r w:rsidR="009D6805">
        <w:rPr>
          <w:sz w:val="24"/>
          <w:szCs w:val="24"/>
        </w:rPr>
        <w:t xml:space="preserve"> da quell</w:t>
      </w:r>
      <w:r w:rsidR="00201AD0">
        <w:rPr>
          <w:sz w:val="24"/>
          <w:szCs w:val="24"/>
        </w:rPr>
        <w:t>a</w:t>
      </w:r>
      <w:r w:rsidR="009D6805">
        <w:rPr>
          <w:sz w:val="24"/>
          <w:szCs w:val="24"/>
        </w:rPr>
        <w:t xml:space="preserve"> di Asia-Pacifico </w:t>
      </w:r>
      <w:r w:rsidR="00201AD0">
        <w:rPr>
          <w:sz w:val="24"/>
          <w:szCs w:val="24"/>
        </w:rPr>
        <w:t>che tocca il</w:t>
      </w:r>
      <w:r w:rsidR="009D6805">
        <w:rPr>
          <w:sz w:val="24"/>
          <w:szCs w:val="24"/>
        </w:rPr>
        <w:t xml:space="preserve"> 27,5%. Questi in dettaglio</w:t>
      </w:r>
      <w:r w:rsidR="00201AD0">
        <w:rPr>
          <w:sz w:val="24"/>
          <w:szCs w:val="24"/>
        </w:rPr>
        <w:t xml:space="preserve"> i dati per regione</w:t>
      </w:r>
      <w:r w:rsidR="007628BC">
        <w:rPr>
          <w:sz w:val="24"/>
          <w:szCs w:val="24"/>
        </w:rPr>
        <w:t xml:space="preserve"> </w:t>
      </w:r>
      <w:r w:rsidR="007628BC" w:rsidRPr="001B1B4B">
        <w:rPr>
          <w:color w:val="FF0000"/>
          <w:sz w:val="18"/>
          <w:szCs w:val="18"/>
        </w:rPr>
        <w:t>(</w:t>
      </w:r>
      <w:r w:rsidR="00201AD0">
        <w:rPr>
          <w:color w:val="FF0000"/>
          <w:sz w:val="18"/>
          <w:szCs w:val="18"/>
        </w:rPr>
        <w:t>2</w:t>
      </w:r>
      <w:r w:rsidR="007628BC" w:rsidRPr="001B1B4B">
        <w:rPr>
          <w:color w:val="FF0000"/>
          <w:sz w:val="18"/>
          <w:szCs w:val="18"/>
        </w:rPr>
        <w:t>)</w:t>
      </w:r>
      <w:r w:rsidR="009D6805">
        <w:rPr>
          <w:sz w:val="24"/>
          <w:szCs w:val="24"/>
        </w:rPr>
        <w:t>:</w:t>
      </w:r>
    </w:p>
    <w:p w14:paraId="57ED6A15" w14:textId="77777777" w:rsidR="009D6805" w:rsidRDefault="009D6805" w:rsidP="00427449">
      <w:pPr>
        <w:spacing w:after="0" w:line="240" w:lineRule="auto"/>
        <w:rPr>
          <w:sz w:val="20"/>
          <w:szCs w:val="20"/>
        </w:rPr>
      </w:pPr>
    </w:p>
    <w:p w14:paraId="3CE0C539" w14:textId="2CD1F6A2" w:rsidR="009D6805" w:rsidRDefault="009D6805" w:rsidP="004274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Nord America</w:t>
      </w:r>
      <w:r>
        <w:rPr>
          <w:sz w:val="20"/>
          <w:szCs w:val="20"/>
        </w:rPr>
        <w:tab/>
      </w:r>
      <w:r w:rsidR="00D063C3">
        <w:rPr>
          <w:sz w:val="20"/>
          <w:szCs w:val="20"/>
        </w:rPr>
        <w:t>32.6%</w:t>
      </w:r>
    </w:p>
    <w:p w14:paraId="34A04338" w14:textId="453C4ECE" w:rsidR="00D063C3" w:rsidRDefault="00D063C3" w:rsidP="004274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Asia Pacifico</w:t>
      </w:r>
      <w:r>
        <w:rPr>
          <w:sz w:val="20"/>
          <w:szCs w:val="20"/>
        </w:rPr>
        <w:tab/>
        <w:t>27,5%</w:t>
      </w:r>
    </w:p>
    <w:p w14:paraId="0BC92EB4" w14:textId="0D3B3B6A" w:rsidR="00D063C3" w:rsidRDefault="00D51548" w:rsidP="004274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Europa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25%</w:t>
      </w:r>
    </w:p>
    <w:p w14:paraId="579D53E1" w14:textId="24F727CA" w:rsidR="00D51548" w:rsidRDefault="00D51548" w:rsidP="004274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Medio Oriente</w:t>
      </w:r>
      <w:r w:rsidR="00BD7944">
        <w:rPr>
          <w:sz w:val="20"/>
          <w:szCs w:val="20"/>
        </w:rPr>
        <w:tab/>
        <w:t xml:space="preserve"> 6,6%</w:t>
      </w:r>
    </w:p>
    <w:p w14:paraId="72023A20" w14:textId="7DE7BC04" w:rsidR="00BD7944" w:rsidRDefault="00BD7944" w:rsidP="004274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America Latina</w:t>
      </w:r>
      <w:r>
        <w:rPr>
          <w:sz w:val="20"/>
          <w:szCs w:val="20"/>
        </w:rPr>
        <w:tab/>
        <w:t xml:space="preserve"> 6,5%</w:t>
      </w:r>
    </w:p>
    <w:p w14:paraId="58E53700" w14:textId="7C796ECC" w:rsidR="007628BC" w:rsidRDefault="007628BC" w:rsidP="004274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Africa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1,9%</w:t>
      </w:r>
    </w:p>
    <w:p w14:paraId="2F0B086B" w14:textId="77777777" w:rsidR="00D52EB3" w:rsidRDefault="00D52EB3" w:rsidP="00427449">
      <w:pPr>
        <w:spacing w:after="0" w:line="240" w:lineRule="auto"/>
        <w:rPr>
          <w:sz w:val="20"/>
          <w:szCs w:val="20"/>
        </w:rPr>
      </w:pPr>
    </w:p>
    <w:p w14:paraId="49480ADC" w14:textId="68F1D562" w:rsidR="00D52EB3" w:rsidRDefault="00D87FE8" w:rsidP="00427449">
      <w:pPr>
        <w:spacing w:after="0" w:line="240" w:lineRule="auto"/>
        <w:rPr>
          <w:sz w:val="24"/>
          <w:szCs w:val="24"/>
        </w:rPr>
      </w:pPr>
      <w:r w:rsidRPr="00D87FE8">
        <w:rPr>
          <w:sz w:val="24"/>
          <w:szCs w:val="24"/>
        </w:rPr>
        <w:t xml:space="preserve">Secondo i più recenti </w:t>
      </w:r>
      <w:r w:rsidRPr="00EA6A93">
        <w:rPr>
          <w:i/>
          <w:iCs/>
          <w:sz w:val="24"/>
          <w:szCs w:val="24"/>
        </w:rPr>
        <w:t>outlook</w:t>
      </w:r>
      <w:r>
        <w:rPr>
          <w:sz w:val="24"/>
          <w:szCs w:val="24"/>
        </w:rPr>
        <w:t xml:space="preserve"> la regione che dovrebbe mostrare</w:t>
      </w:r>
      <w:r w:rsidR="005C009D">
        <w:rPr>
          <w:sz w:val="24"/>
          <w:szCs w:val="24"/>
        </w:rPr>
        <w:t xml:space="preserve"> la più rapida ripresa è quella del Sud America</w:t>
      </w:r>
      <w:r w:rsidR="00B00037">
        <w:rPr>
          <w:sz w:val="24"/>
          <w:szCs w:val="24"/>
        </w:rPr>
        <w:t>/Caraibi</w:t>
      </w:r>
      <w:r w:rsidR="005C009D">
        <w:rPr>
          <w:sz w:val="24"/>
          <w:szCs w:val="24"/>
        </w:rPr>
        <w:t>.</w:t>
      </w:r>
    </w:p>
    <w:p w14:paraId="23D1D1F6" w14:textId="77777777" w:rsidR="005C009D" w:rsidRDefault="005C009D" w:rsidP="00427449">
      <w:pPr>
        <w:spacing w:after="0" w:line="240" w:lineRule="auto"/>
        <w:rPr>
          <w:sz w:val="24"/>
          <w:szCs w:val="24"/>
        </w:rPr>
      </w:pPr>
    </w:p>
    <w:p w14:paraId="50D473E5" w14:textId="2DD9C043" w:rsidR="005C009D" w:rsidRDefault="005C009D" w:rsidP="005C009D">
      <w:pPr>
        <w:spacing w:after="0" w:line="240" w:lineRule="auto"/>
        <w:jc w:val="center"/>
        <w:rPr>
          <w:sz w:val="24"/>
          <w:szCs w:val="24"/>
        </w:rPr>
      </w:pPr>
      <w:r w:rsidRPr="00E4075A">
        <w:rPr>
          <w:noProof/>
          <w:sz w:val="24"/>
          <w:szCs w:val="24"/>
          <w:bdr w:val="single" w:sz="12" w:space="0" w:color="auto"/>
        </w:rPr>
        <w:drawing>
          <wp:inline distT="0" distB="0" distL="0" distR="0" wp14:anchorId="15B1913A" wp14:editId="604E258F">
            <wp:extent cx="3106800" cy="1666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800" cy="16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2AB38" w14:textId="77777777" w:rsidR="005C009D" w:rsidRDefault="005C009D" w:rsidP="00427449">
      <w:pPr>
        <w:spacing w:after="0" w:line="240" w:lineRule="auto"/>
        <w:rPr>
          <w:sz w:val="24"/>
          <w:szCs w:val="24"/>
        </w:rPr>
      </w:pPr>
    </w:p>
    <w:p w14:paraId="5A3FCA45" w14:textId="02EAC5EF" w:rsidR="00201AD0" w:rsidRPr="00751B1D" w:rsidRDefault="007F1105" w:rsidP="007F1105">
      <w:pPr>
        <w:spacing w:after="0" w:line="240" w:lineRule="auto"/>
        <w:ind w:left="283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</w:t>
      </w:r>
      <w:r w:rsidR="00D069E5" w:rsidRPr="007A35FB">
        <w:rPr>
          <w:i/>
          <w:iCs/>
          <w:sz w:val="18"/>
          <w:szCs w:val="18"/>
        </w:rPr>
        <w:t>Fonte: ICAO</w:t>
      </w:r>
      <w:r w:rsidR="007A35FB" w:rsidRPr="007A35FB">
        <w:rPr>
          <w:i/>
          <w:iCs/>
          <w:sz w:val="18"/>
          <w:szCs w:val="18"/>
        </w:rPr>
        <w:t xml:space="preserve"> </w:t>
      </w:r>
      <w:r w:rsidR="00751B1D">
        <w:rPr>
          <w:i/>
          <w:iCs/>
          <w:sz w:val="18"/>
          <w:szCs w:val="18"/>
        </w:rPr>
        <w:t>News Release</w:t>
      </w:r>
      <w:r>
        <w:rPr>
          <w:i/>
          <w:iCs/>
          <w:sz w:val="18"/>
          <w:szCs w:val="18"/>
        </w:rPr>
        <w:t>, 17 gennaio 2022</w:t>
      </w:r>
    </w:p>
    <w:p w14:paraId="12578D64" w14:textId="2FD5C870" w:rsidR="00201AD0" w:rsidRPr="00CE68B8" w:rsidRDefault="00201AD0" w:rsidP="00427449">
      <w:pPr>
        <w:spacing w:after="0" w:line="240" w:lineRule="auto"/>
        <w:rPr>
          <w:sz w:val="24"/>
          <w:szCs w:val="24"/>
        </w:rPr>
      </w:pPr>
      <w:r w:rsidRPr="00CE68B8">
        <w:rPr>
          <w:sz w:val="24"/>
          <w:szCs w:val="24"/>
        </w:rPr>
        <w:lastRenderedPageBreak/>
        <w:t xml:space="preserve">Crediamo sia interessante </w:t>
      </w:r>
      <w:r w:rsidR="00CE68B8" w:rsidRPr="00CE68B8">
        <w:rPr>
          <w:sz w:val="24"/>
          <w:szCs w:val="24"/>
        </w:rPr>
        <w:t>mostrare i risultati finanziari post-tasse</w:t>
      </w:r>
      <w:r w:rsidR="00CE68B8">
        <w:rPr>
          <w:sz w:val="24"/>
          <w:szCs w:val="24"/>
        </w:rPr>
        <w:t xml:space="preserve"> d</w:t>
      </w:r>
      <w:r w:rsidR="002C32A5">
        <w:rPr>
          <w:sz w:val="24"/>
          <w:szCs w:val="24"/>
        </w:rPr>
        <w:t xml:space="preserve">i alcune fra le principali </w:t>
      </w:r>
      <w:r w:rsidR="00E84DE1">
        <w:rPr>
          <w:sz w:val="24"/>
          <w:szCs w:val="24"/>
        </w:rPr>
        <w:t xml:space="preserve">compagnie </w:t>
      </w:r>
      <w:r w:rsidR="002C32A5">
        <w:rPr>
          <w:sz w:val="24"/>
          <w:szCs w:val="24"/>
        </w:rPr>
        <w:t>aeree</w:t>
      </w:r>
      <w:r w:rsidR="00E84DE1">
        <w:rPr>
          <w:sz w:val="24"/>
          <w:szCs w:val="24"/>
        </w:rPr>
        <w:t>.</w:t>
      </w:r>
      <w:r w:rsidR="002C32A5">
        <w:rPr>
          <w:sz w:val="24"/>
          <w:szCs w:val="24"/>
        </w:rPr>
        <w:t xml:space="preserve"> </w:t>
      </w:r>
      <w:r w:rsidR="00E84DE1">
        <w:rPr>
          <w:sz w:val="24"/>
          <w:szCs w:val="24"/>
        </w:rPr>
        <w:t>I</w:t>
      </w:r>
      <w:r w:rsidR="002C32A5">
        <w:rPr>
          <w:sz w:val="24"/>
          <w:szCs w:val="24"/>
        </w:rPr>
        <w:t xml:space="preserve"> risultati del 202</w:t>
      </w:r>
      <w:r w:rsidR="00E84DE1">
        <w:rPr>
          <w:sz w:val="24"/>
          <w:szCs w:val="24"/>
        </w:rPr>
        <w:t>1</w:t>
      </w:r>
      <w:r w:rsidR="002C32A5">
        <w:rPr>
          <w:sz w:val="24"/>
          <w:szCs w:val="24"/>
        </w:rPr>
        <w:t xml:space="preserve"> sono stati messi a confronto con quelli dell’esercizio precedente</w:t>
      </w:r>
      <w:r w:rsidR="00C43612">
        <w:rPr>
          <w:sz w:val="24"/>
          <w:szCs w:val="24"/>
        </w:rPr>
        <w:t>.</w:t>
      </w:r>
    </w:p>
    <w:p w14:paraId="7C8E0CE4" w14:textId="77777777" w:rsidR="00F83309" w:rsidRDefault="00F83309" w:rsidP="00427449">
      <w:pPr>
        <w:spacing w:after="0" w:line="240" w:lineRule="auto"/>
        <w:rPr>
          <w:sz w:val="20"/>
          <w:szCs w:val="20"/>
        </w:rPr>
      </w:pPr>
    </w:p>
    <w:p w14:paraId="17FC266B" w14:textId="779AFDBA" w:rsidR="00F83309" w:rsidRPr="008E0146" w:rsidRDefault="00AA733E" w:rsidP="00427449">
      <w:pPr>
        <w:spacing w:after="0" w:line="240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>Risultati</w:t>
      </w:r>
      <w:r w:rsidR="00DE395F">
        <w:rPr>
          <w:sz w:val="20"/>
          <w:szCs w:val="20"/>
        </w:rPr>
        <w:t xml:space="preserve"> anno 2021</w:t>
      </w:r>
      <w:r w:rsidR="00BD7340">
        <w:rPr>
          <w:sz w:val="20"/>
          <w:szCs w:val="20"/>
        </w:rPr>
        <w:t xml:space="preserve"> di compagnie aeree selezionate</w:t>
      </w:r>
      <w:r w:rsidR="006F793D">
        <w:rPr>
          <w:sz w:val="20"/>
          <w:szCs w:val="20"/>
        </w:rPr>
        <w:t>.</w:t>
      </w:r>
      <w:r w:rsidR="008E0146">
        <w:rPr>
          <w:sz w:val="20"/>
          <w:szCs w:val="20"/>
        </w:rPr>
        <w:t xml:space="preserve"> </w:t>
      </w:r>
      <w:r w:rsidR="008E0146" w:rsidRPr="008E0146">
        <w:rPr>
          <w:i/>
          <w:iCs/>
          <w:sz w:val="20"/>
          <w:szCs w:val="20"/>
        </w:rPr>
        <w:t>Importi</w:t>
      </w:r>
      <w:r w:rsidR="00E4407C">
        <w:rPr>
          <w:i/>
          <w:iCs/>
          <w:sz w:val="20"/>
          <w:szCs w:val="20"/>
        </w:rPr>
        <w:t xml:space="preserve"> espressi in</w:t>
      </w:r>
      <w:r w:rsidR="008E0146" w:rsidRPr="008E0146">
        <w:rPr>
          <w:i/>
          <w:iCs/>
          <w:sz w:val="20"/>
          <w:szCs w:val="20"/>
        </w:rPr>
        <w:t xml:space="preserve"> milioni di euro</w:t>
      </w:r>
      <w:r w:rsidR="00F56336">
        <w:rPr>
          <w:i/>
          <w:iCs/>
          <w:sz w:val="20"/>
          <w:szCs w:val="20"/>
        </w:rPr>
        <w:t>;</w:t>
      </w:r>
      <w:r w:rsidR="006F793D">
        <w:rPr>
          <w:i/>
          <w:iCs/>
          <w:sz w:val="20"/>
          <w:szCs w:val="20"/>
        </w:rPr>
        <w:t xml:space="preserve"> gli importi tra parentesi si intendono negativi</w:t>
      </w:r>
      <w:r w:rsidR="00F56336">
        <w:rPr>
          <w:i/>
          <w:iCs/>
          <w:sz w:val="20"/>
          <w:szCs w:val="20"/>
        </w:rPr>
        <w:t>.</w:t>
      </w:r>
    </w:p>
    <w:p w14:paraId="2932AABE" w14:textId="77777777" w:rsidR="00467701" w:rsidRDefault="00467701" w:rsidP="00427449">
      <w:pPr>
        <w:spacing w:after="0" w:line="240" w:lineRule="auto"/>
        <w:rPr>
          <w:sz w:val="20"/>
          <w:szCs w:val="20"/>
        </w:rPr>
      </w:pPr>
    </w:p>
    <w:p w14:paraId="30DFDCE2" w14:textId="62BBF277" w:rsidR="00467701" w:rsidRPr="00C43612" w:rsidRDefault="00467701" w:rsidP="00427449">
      <w:pPr>
        <w:spacing w:after="0" w:line="240" w:lineRule="auto"/>
        <w:rPr>
          <w:i/>
          <w:i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07019" w:rsidRPr="00C43612">
        <w:rPr>
          <w:i/>
          <w:iCs/>
          <w:sz w:val="18"/>
          <w:szCs w:val="18"/>
        </w:rPr>
        <w:t xml:space="preserve">           </w:t>
      </w:r>
      <w:r w:rsidR="00543E0B" w:rsidRPr="00C43612">
        <w:rPr>
          <w:i/>
          <w:iCs/>
          <w:sz w:val="18"/>
          <w:szCs w:val="18"/>
        </w:rPr>
        <w:t>Risultato 2021</w:t>
      </w:r>
      <w:r w:rsidR="00607019" w:rsidRPr="00C43612">
        <w:rPr>
          <w:i/>
          <w:iCs/>
          <w:sz w:val="18"/>
          <w:szCs w:val="18"/>
        </w:rPr>
        <w:t xml:space="preserve">       </w:t>
      </w:r>
      <w:r w:rsidR="00543E0B" w:rsidRPr="00C43612">
        <w:rPr>
          <w:i/>
          <w:iCs/>
          <w:sz w:val="18"/>
          <w:szCs w:val="18"/>
        </w:rPr>
        <w:t>Risultato 2020</w:t>
      </w:r>
      <w:r w:rsidR="0070747B" w:rsidRPr="00C43612">
        <w:rPr>
          <w:i/>
          <w:iCs/>
          <w:sz w:val="18"/>
          <w:szCs w:val="18"/>
        </w:rPr>
        <w:tab/>
      </w:r>
      <w:r w:rsidR="0070747B" w:rsidRPr="00C43612">
        <w:rPr>
          <w:i/>
          <w:iCs/>
          <w:sz w:val="18"/>
          <w:szCs w:val="18"/>
        </w:rPr>
        <w:tab/>
      </w:r>
    </w:p>
    <w:p w14:paraId="2E1163B0" w14:textId="77777777" w:rsidR="00BD7340" w:rsidRDefault="00BD7340" w:rsidP="00427449">
      <w:pPr>
        <w:spacing w:after="0" w:line="240" w:lineRule="auto"/>
        <w:rPr>
          <w:sz w:val="20"/>
          <w:szCs w:val="20"/>
        </w:rPr>
      </w:pPr>
    </w:p>
    <w:p w14:paraId="25D27FAE" w14:textId="3F5F11C5" w:rsidR="00BD7340" w:rsidRDefault="00BD7340" w:rsidP="004274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Gruppo Lufthansa</w:t>
      </w:r>
      <w:r w:rsidR="00A65253">
        <w:rPr>
          <w:sz w:val="20"/>
          <w:szCs w:val="20"/>
        </w:rPr>
        <w:t xml:space="preserve"> </w:t>
      </w:r>
      <w:r w:rsidR="00A65253" w:rsidRPr="00A65253">
        <w:rPr>
          <w:color w:val="FF0000"/>
          <w:sz w:val="18"/>
          <w:szCs w:val="18"/>
        </w:rPr>
        <w:t>(</w:t>
      </w:r>
      <w:r w:rsidR="00C43612">
        <w:rPr>
          <w:color w:val="FF0000"/>
          <w:sz w:val="18"/>
          <w:szCs w:val="18"/>
        </w:rPr>
        <w:t>3</w:t>
      </w:r>
      <w:proofErr w:type="gramStart"/>
      <w:r w:rsidR="00A65253" w:rsidRPr="00A65253">
        <w:rPr>
          <w:color w:val="FF0000"/>
          <w:sz w:val="18"/>
          <w:szCs w:val="18"/>
        </w:rPr>
        <w:t>)</w:t>
      </w:r>
      <w:r w:rsidR="003F3CC0">
        <w:rPr>
          <w:sz w:val="20"/>
          <w:szCs w:val="20"/>
        </w:rPr>
        <w:t xml:space="preserve">:  </w:t>
      </w:r>
      <w:r w:rsidR="008E0146">
        <w:rPr>
          <w:sz w:val="20"/>
          <w:szCs w:val="20"/>
        </w:rPr>
        <w:tab/>
      </w:r>
      <w:proofErr w:type="gramEnd"/>
      <w:r w:rsidR="00AF2D39">
        <w:rPr>
          <w:sz w:val="20"/>
          <w:szCs w:val="20"/>
        </w:rPr>
        <w:t>(2191)</w:t>
      </w:r>
      <w:r w:rsidR="00414C3F">
        <w:rPr>
          <w:sz w:val="20"/>
          <w:szCs w:val="20"/>
        </w:rPr>
        <w:tab/>
      </w:r>
      <w:r w:rsidR="00414C3F">
        <w:rPr>
          <w:sz w:val="20"/>
          <w:szCs w:val="20"/>
        </w:rPr>
        <w:tab/>
      </w:r>
      <w:r w:rsidR="00A95194">
        <w:rPr>
          <w:sz w:val="20"/>
          <w:szCs w:val="20"/>
        </w:rPr>
        <w:t>(6725)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57E0FB4" w14:textId="02A13A12" w:rsidR="00C94408" w:rsidRPr="00D32825" w:rsidRDefault="00C94408" w:rsidP="00427449">
      <w:pPr>
        <w:spacing w:after="0" w:line="240" w:lineRule="auto"/>
        <w:rPr>
          <w:i/>
          <w:iCs/>
          <w:sz w:val="20"/>
          <w:szCs w:val="20"/>
        </w:rPr>
      </w:pPr>
      <w:r w:rsidRPr="00D32825">
        <w:rPr>
          <w:i/>
          <w:iCs/>
          <w:sz w:val="20"/>
          <w:szCs w:val="20"/>
        </w:rPr>
        <w:t xml:space="preserve">In </w:t>
      </w:r>
      <w:r w:rsidR="00E4407C" w:rsidRPr="00D32825">
        <w:rPr>
          <w:i/>
          <w:iCs/>
          <w:sz w:val="20"/>
          <w:szCs w:val="20"/>
        </w:rPr>
        <w:t>dettaglio</w:t>
      </w:r>
      <w:r w:rsidRPr="00D32825">
        <w:rPr>
          <w:i/>
          <w:iCs/>
          <w:sz w:val="20"/>
          <w:szCs w:val="20"/>
        </w:rPr>
        <w:t>:</w:t>
      </w:r>
    </w:p>
    <w:p w14:paraId="69DD1D5B" w14:textId="3E0B0B96" w:rsidR="00F93B8F" w:rsidRDefault="00F93B8F" w:rsidP="004274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AB3BEE8" w14:textId="155D6C10" w:rsidR="00BF6ADF" w:rsidRDefault="00BF6ADF" w:rsidP="004274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Lufthansa</w:t>
      </w:r>
      <w:r w:rsidR="00CE6A3B">
        <w:rPr>
          <w:sz w:val="20"/>
          <w:szCs w:val="20"/>
        </w:rPr>
        <w:tab/>
      </w:r>
      <w:r w:rsidR="001B3CC3">
        <w:rPr>
          <w:sz w:val="20"/>
          <w:szCs w:val="20"/>
        </w:rPr>
        <w:tab/>
      </w:r>
      <w:r w:rsidR="003F6005">
        <w:rPr>
          <w:sz w:val="20"/>
          <w:szCs w:val="20"/>
        </w:rPr>
        <w:t>(2587)</w:t>
      </w:r>
      <w:r w:rsidR="00B723CD">
        <w:rPr>
          <w:sz w:val="20"/>
          <w:szCs w:val="20"/>
        </w:rPr>
        <w:tab/>
      </w:r>
      <w:r w:rsidR="00B723CD">
        <w:rPr>
          <w:sz w:val="20"/>
          <w:szCs w:val="20"/>
        </w:rPr>
        <w:tab/>
        <w:t>(4702)</w:t>
      </w:r>
    </w:p>
    <w:p w14:paraId="05BB38A7" w14:textId="2631CEAC" w:rsidR="005410EE" w:rsidRDefault="00C94408" w:rsidP="004274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Swiss</w:t>
      </w:r>
      <w:r w:rsidR="00C17CD1">
        <w:rPr>
          <w:sz w:val="20"/>
          <w:szCs w:val="20"/>
        </w:rPr>
        <w:tab/>
        <w:t xml:space="preserve"> </w:t>
      </w:r>
      <w:r w:rsidR="00BF6ADF">
        <w:rPr>
          <w:sz w:val="20"/>
          <w:szCs w:val="20"/>
        </w:rPr>
        <w:t xml:space="preserve">  </w:t>
      </w:r>
      <w:r w:rsidR="00E044B9">
        <w:rPr>
          <w:sz w:val="20"/>
          <w:szCs w:val="20"/>
        </w:rPr>
        <w:tab/>
      </w:r>
      <w:r w:rsidR="00C17CD1">
        <w:rPr>
          <w:sz w:val="20"/>
          <w:szCs w:val="20"/>
        </w:rPr>
        <w:t xml:space="preserve"> </w:t>
      </w:r>
      <w:r w:rsidR="001B3CC3">
        <w:rPr>
          <w:sz w:val="20"/>
          <w:szCs w:val="20"/>
        </w:rPr>
        <w:tab/>
      </w:r>
      <w:r w:rsidR="005A5992">
        <w:rPr>
          <w:sz w:val="20"/>
          <w:szCs w:val="20"/>
        </w:rPr>
        <w:t>(349)</w:t>
      </w:r>
      <w:r w:rsidR="005A5992">
        <w:rPr>
          <w:sz w:val="20"/>
          <w:szCs w:val="20"/>
        </w:rPr>
        <w:tab/>
      </w:r>
      <w:r w:rsidR="005A5992">
        <w:rPr>
          <w:sz w:val="20"/>
          <w:szCs w:val="20"/>
        </w:rPr>
        <w:tab/>
        <w:t>(695)</w:t>
      </w:r>
    </w:p>
    <w:p w14:paraId="476AA7CF" w14:textId="2E5A091B" w:rsidR="00F4530C" w:rsidRDefault="005410EE" w:rsidP="004274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Austrian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3CC3">
        <w:rPr>
          <w:sz w:val="20"/>
          <w:szCs w:val="20"/>
        </w:rPr>
        <w:tab/>
      </w:r>
      <w:r w:rsidR="00F57303">
        <w:rPr>
          <w:sz w:val="20"/>
          <w:szCs w:val="20"/>
        </w:rPr>
        <w:t>(239)</w:t>
      </w:r>
      <w:r w:rsidR="00F57303">
        <w:rPr>
          <w:sz w:val="20"/>
          <w:szCs w:val="20"/>
        </w:rPr>
        <w:tab/>
      </w:r>
      <w:r w:rsidR="00F57303">
        <w:rPr>
          <w:sz w:val="20"/>
          <w:szCs w:val="20"/>
        </w:rPr>
        <w:tab/>
        <w:t>(381)</w:t>
      </w:r>
    </w:p>
    <w:p w14:paraId="5A05017C" w14:textId="0E36EB68" w:rsidR="005B55BD" w:rsidRDefault="00F4530C" w:rsidP="004274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Brussels Airline</w:t>
      </w:r>
      <w:r w:rsidR="00C17CD1">
        <w:rPr>
          <w:sz w:val="20"/>
          <w:szCs w:val="20"/>
        </w:rPr>
        <w:tab/>
      </w:r>
      <w:r w:rsidR="001B3CC3">
        <w:rPr>
          <w:sz w:val="20"/>
          <w:szCs w:val="20"/>
        </w:rPr>
        <w:tab/>
      </w:r>
      <w:r w:rsidR="00FA0262">
        <w:rPr>
          <w:sz w:val="20"/>
          <w:szCs w:val="20"/>
        </w:rPr>
        <w:t>(189)</w:t>
      </w:r>
      <w:r w:rsidR="00FA0262">
        <w:rPr>
          <w:sz w:val="20"/>
          <w:szCs w:val="20"/>
        </w:rPr>
        <w:tab/>
      </w:r>
      <w:r w:rsidR="00FA0262">
        <w:rPr>
          <w:sz w:val="20"/>
          <w:szCs w:val="20"/>
        </w:rPr>
        <w:tab/>
        <w:t>(332)</w:t>
      </w:r>
    </w:p>
    <w:p w14:paraId="569EA55B" w14:textId="703CBBD0" w:rsidR="00414C3F" w:rsidRDefault="005B55BD" w:rsidP="004274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Eurowings</w:t>
      </w:r>
      <w:r>
        <w:rPr>
          <w:sz w:val="20"/>
          <w:szCs w:val="20"/>
        </w:rPr>
        <w:tab/>
      </w:r>
      <w:r w:rsidR="001B3CC3">
        <w:rPr>
          <w:sz w:val="20"/>
          <w:szCs w:val="20"/>
        </w:rPr>
        <w:tab/>
      </w:r>
      <w:r w:rsidR="00232A60">
        <w:rPr>
          <w:sz w:val="20"/>
          <w:szCs w:val="20"/>
        </w:rPr>
        <w:t>(227)</w:t>
      </w:r>
      <w:r w:rsidR="00232A60">
        <w:rPr>
          <w:sz w:val="20"/>
          <w:szCs w:val="20"/>
        </w:rPr>
        <w:tab/>
      </w:r>
      <w:r w:rsidR="00232A60">
        <w:rPr>
          <w:sz w:val="20"/>
          <w:szCs w:val="20"/>
        </w:rPr>
        <w:tab/>
        <w:t>(802)</w:t>
      </w:r>
    </w:p>
    <w:p w14:paraId="01C614DB" w14:textId="77777777" w:rsidR="00232A60" w:rsidRDefault="00232A60" w:rsidP="00427449">
      <w:pPr>
        <w:spacing w:after="0" w:line="240" w:lineRule="auto"/>
        <w:rPr>
          <w:sz w:val="20"/>
          <w:szCs w:val="20"/>
        </w:rPr>
      </w:pPr>
    </w:p>
    <w:p w14:paraId="36A9C04D" w14:textId="6295D16B" w:rsidR="003E0D6A" w:rsidRDefault="00D655E1" w:rsidP="004274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Gruppo </w:t>
      </w:r>
      <w:r w:rsidR="00414C3F">
        <w:rPr>
          <w:sz w:val="20"/>
          <w:szCs w:val="20"/>
        </w:rPr>
        <w:t>Ryanair</w:t>
      </w:r>
      <w:r w:rsidR="00A35D34">
        <w:rPr>
          <w:sz w:val="20"/>
          <w:szCs w:val="20"/>
        </w:rPr>
        <w:t xml:space="preserve"> </w:t>
      </w:r>
      <w:r w:rsidR="00232A60" w:rsidRPr="00A35D34">
        <w:rPr>
          <w:color w:val="FF0000"/>
          <w:sz w:val="18"/>
          <w:szCs w:val="18"/>
        </w:rPr>
        <w:t>(</w:t>
      </w:r>
      <w:r w:rsidR="00C43612">
        <w:rPr>
          <w:color w:val="FF0000"/>
          <w:sz w:val="18"/>
          <w:szCs w:val="18"/>
        </w:rPr>
        <w:t>4</w:t>
      </w:r>
      <w:r w:rsidR="00232A60" w:rsidRPr="00A35D34">
        <w:rPr>
          <w:color w:val="FF0000"/>
          <w:sz w:val="18"/>
          <w:szCs w:val="18"/>
        </w:rPr>
        <w:t>)</w:t>
      </w:r>
      <w:r w:rsidR="002A4469">
        <w:rPr>
          <w:sz w:val="20"/>
          <w:szCs w:val="20"/>
        </w:rPr>
        <w:tab/>
      </w:r>
      <w:r w:rsidR="0046739C">
        <w:rPr>
          <w:sz w:val="20"/>
          <w:szCs w:val="20"/>
        </w:rPr>
        <w:t>(</w:t>
      </w:r>
      <w:r w:rsidR="002A4469">
        <w:rPr>
          <w:sz w:val="20"/>
          <w:szCs w:val="20"/>
        </w:rPr>
        <w:t>355</w:t>
      </w:r>
      <w:r w:rsidR="0046739C">
        <w:rPr>
          <w:sz w:val="20"/>
          <w:szCs w:val="20"/>
        </w:rPr>
        <w:t>)</w:t>
      </w:r>
      <w:r w:rsidR="00922307">
        <w:rPr>
          <w:sz w:val="20"/>
          <w:szCs w:val="20"/>
        </w:rPr>
        <w:tab/>
      </w:r>
      <w:r w:rsidR="00922307">
        <w:rPr>
          <w:sz w:val="20"/>
          <w:szCs w:val="20"/>
        </w:rPr>
        <w:tab/>
        <w:t>(1015)</w:t>
      </w:r>
    </w:p>
    <w:p w14:paraId="0E0CC7E5" w14:textId="77777777" w:rsidR="003E0D6A" w:rsidRDefault="003E0D6A" w:rsidP="00427449">
      <w:pPr>
        <w:spacing w:after="0" w:line="240" w:lineRule="auto"/>
        <w:rPr>
          <w:sz w:val="20"/>
          <w:szCs w:val="20"/>
        </w:rPr>
      </w:pPr>
    </w:p>
    <w:p w14:paraId="7EF5CF4B" w14:textId="148ACF2A" w:rsidR="002371E7" w:rsidRDefault="003E0D6A" w:rsidP="004274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Wizz 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739C">
        <w:rPr>
          <w:sz w:val="20"/>
          <w:szCs w:val="20"/>
        </w:rPr>
        <w:t>(</w:t>
      </w:r>
      <w:r w:rsidR="002371E7">
        <w:rPr>
          <w:sz w:val="20"/>
          <w:szCs w:val="20"/>
        </w:rPr>
        <w:t>5</w:t>
      </w:r>
      <w:r w:rsidR="0071786B">
        <w:rPr>
          <w:sz w:val="20"/>
          <w:szCs w:val="20"/>
        </w:rPr>
        <w:t>76</w:t>
      </w:r>
      <w:r w:rsidR="0046739C">
        <w:rPr>
          <w:sz w:val="20"/>
          <w:szCs w:val="20"/>
        </w:rPr>
        <w:t>)</w:t>
      </w:r>
      <w:r w:rsidR="00FA1C16">
        <w:rPr>
          <w:sz w:val="20"/>
          <w:szCs w:val="20"/>
        </w:rPr>
        <w:tab/>
      </w:r>
      <w:r w:rsidR="00FA1C16">
        <w:rPr>
          <w:sz w:val="20"/>
          <w:szCs w:val="20"/>
        </w:rPr>
        <w:tab/>
        <w:t>281.1</w:t>
      </w:r>
    </w:p>
    <w:p w14:paraId="4929553F" w14:textId="338463BC" w:rsidR="00232A60" w:rsidRDefault="00232A60" w:rsidP="004274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Easyjet </w:t>
      </w:r>
      <w:r w:rsidR="00DE2560" w:rsidRPr="00957BDE">
        <w:rPr>
          <w:color w:val="FF0000"/>
          <w:sz w:val="18"/>
          <w:szCs w:val="18"/>
        </w:rPr>
        <w:t>(</w:t>
      </w:r>
      <w:r w:rsidR="00C43612">
        <w:rPr>
          <w:color w:val="FF0000"/>
          <w:sz w:val="18"/>
          <w:szCs w:val="18"/>
        </w:rPr>
        <w:t>5</w:t>
      </w:r>
      <w:r w:rsidR="00DE2560" w:rsidRPr="00957BDE">
        <w:rPr>
          <w:color w:val="FF0000"/>
          <w:sz w:val="18"/>
          <w:szCs w:val="18"/>
        </w:rPr>
        <w:t>)</w:t>
      </w:r>
      <w:r w:rsidR="00DE2560">
        <w:rPr>
          <w:sz w:val="20"/>
          <w:szCs w:val="20"/>
        </w:rPr>
        <w:tab/>
      </w:r>
      <w:r w:rsidR="00DE2560">
        <w:rPr>
          <w:sz w:val="20"/>
          <w:szCs w:val="20"/>
        </w:rPr>
        <w:tab/>
        <w:t>(1014)</w:t>
      </w:r>
      <w:r w:rsidR="00DE2560">
        <w:rPr>
          <w:sz w:val="20"/>
          <w:szCs w:val="20"/>
        </w:rPr>
        <w:tab/>
      </w:r>
      <w:r w:rsidR="00DE2560">
        <w:rPr>
          <w:sz w:val="20"/>
          <w:szCs w:val="20"/>
        </w:rPr>
        <w:tab/>
      </w:r>
      <w:r w:rsidR="00957BDE">
        <w:rPr>
          <w:sz w:val="20"/>
          <w:szCs w:val="20"/>
        </w:rPr>
        <w:t>(1275)</w:t>
      </w:r>
    </w:p>
    <w:p w14:paraId="276AAAE7" w14:textId="77777777" w:rsidR="002371E7" w:rsidRDefault="002371E7" w:rsidP="00427449">
      <w:pPr>
        <w:spacing w:after="0" w:line="240" w:lineRule="auto"/>
        <w:rPr>
          <w:sz w:val="20"/>
          <w:szCs w:val="20"/>
        </w:rPr>
      </w:pPr>
    </w:p>
    <w:p w14:paraId="16C02646" w14:textId="74E31E9F" w:rsidR="00C94408" w:rsidRDefault="002371E7" w:rsidP="004274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Gruppo AF/</w:t>
      </w:r>
      <w:r w:rsidR="00766A0A">
        <w:rPr>
          <w:sz w:val="20"/>
          <w:szCs w:val="20"/>
        </w:rPr>
        <w:t>KL</w:t>
      </w:r>
      <w:r w:rsidR="00C17CD1">
        <w:rPr>
          <w:sz w:val="20"/>
          <w:szCs w:val="20"/>
        </w:rPr>
        <w:tab/>
      </w:r>
      <w:r w:rsidR="003C07E6">
        <w:rPr>
          <w:sz w:val="20"/>
          <w:szCs w:val="20"/>
        </w:rPr>
        <w:tab/>
      </w:r>
      <w:r w:rsidR="0046739C">
        <w:rPr>
          <w:sz w:val="20"/>
          <w:szCs w:val="20"/>
        </w:rPr>
        <w:t>(</w:t>
      </w:r>
      <w:r w:rsidR="003C07E6">
        <w:rPr>
          <w:sz w:val="20"/>
          <w:szCs w:val="20"/>
        </w:rPr>
        <w:t>3294</w:t>
      </w:r>
      <w:r w:rsidR="0046739C">
        <w:rPr>
          <w:sz w:val="20"/>
          <w:szCs w:val="20"/>
        </w:rPr>
        <w:t>)</w:t>
      </w:r>
      <w:r w:rsidR="006E2242">
        <w:rPr>
          <w:sz w:val="20"/>
          <w:szCs w:val="20"/>
        </w:rPr>
        <w:tab/>
      </w:r>
      <w:r w:rsidR="006E2242">
        <w:rPr>
          <w:sz w:val="20"/>
          <w:szCs w:val="20"/>
        </w:rPr>
        <w:tab/>
      </w:r>
      <w:r w:rsidR="00766A0A">
        <w:rPr>
          <w:sz w:val="20"/>
          <w:szCs w:val="20"/>
        </w:rPr>
        <w:t>(7105)</w:t>
      </w:r>
    </w:p>
    <w:p w14:paraId="09AB3BFB" w14:textId="77777777" w:rsidR="00570879" w:rsidRDefault="00570879" w:rsidP="00427449">
      <w:pPr>
        <w:spacing w:after="0" w:line="240" w:lineRule="auto"/>
        <w:rPr>
          <w:sz w:val="20"/>
          <w:szCs w:val="20"/>
        </w:rPr>
      </w:pPr>
    </w:p>
    <w:p w14:paraId="7BA3C42F" w14:textId="1A4B1765" w:rsidR="00570879" w:rsidRDefault="00570879" w:rsidP="004274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Gruppo IAG </w:t>
      </w:r>
      <w:r w:rsidRPr="00415F24">
        <w:rPr>
          <w:color w:val="FF0000"/>
          <w:sz w:val="18"/>
          <w:szCs w:val="18"/>
        </w:rPr>
        <w:t>(</w:t>
      </w:r>
      <w:r w:rsidR="00C43612">
        <w:rPr>
          <w:color w:val="FF0000"/>
          <w:sz w:val="18"/>
          <w:szCs w:val="18"/>
        </w:rPr>
        <w:t>6</w:t>
      </w:r>
      <w:r w:rsidRPr="00415F24">
        <w:rPr>
          <w:color w:val="FF0000"/>
          <w:sz w:val="18"/>
          <w:szCs w:val="18"/>
        </w:rPr>
        <w:t>)</w:t>
      </w:r>
      <w:r w:rsidR="00B26B67">
        <w:rPr>
          <w:sz w:val="20"/>
          <w:szCs w:val="20"/>
        </w:rPr>
        <w:tab/>
      </w:r>
      <w:r w:rsidR="00B26B67">
        <w:rPr>
          <w:sz w:val="20"/>
          <w:szCs w:val="20"/>
        </w:rPr>
        <w:tab/>
        <w:t>(2933)</w:t>
      </w:r>
      <w:r w:rsidR="00B26B67">
        <w:rPr>
          <w:sz w:val="20"/>
          <w:szCs w:val="20"/>
        </w:rPr>
        <w:tab/>
      </w:r>
      <w:r w:rsidR="00B26B67">
        <w:rPr>
          <w:sz w:val="20"/>
          <w:szCs w:val="20"/>
        </w:rPr>
        <w:tab/>
      </w:r>
      <w:r w:rsidR="008A5387">
        <w:rPr>
          <w:sz w:val="20"/>
          <w:szCs w:val="20"/>
        </w:rPr>
        <w:t>(6935)</w:t>
      </w:r>
    </w:p>
    <w:p w14:paraId="49A48362" w14:textId="6EB512A8" w:rsidR="00EC0077" w:rsidRDefault="00EC0077" w:rsidP="004274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TAP Portugal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(1600) </w:t>
      </w:r>
      <w:r w:rsidR="00E53207">
        <w:rPr>
          <w:sz w:val="20"/>
          <w:szCs w:val="20"/>
        </w:rPr>
        <w:tab/>
      </w:r>
      <w:r w:rsidR="00E53207">
        <w:rPr>
          <w:sz w:val="20"/>
          <w:szCs w:val="20"/>
        </w:rPr>
        <w:tab/>
        <w:t>(1230)</w:t>
      </w:r>
    </w:p>
    <w:p w14:paraId="2B2E4983" w14:textId="77777777" w:rsidR="00E53207" w:rsidRDefault="00E53207" w:rsidP="00427449">
      <w:pPr>
        <w:spacing w:after="0" w:line="240" w:lineRule="auto"/>
        <w:rPr>
          <w:sz w:val="20"/>
          <w:szCs w:val="20"/>
        </w:rPr>
      </w:pPr>
    </w:p>
    <w:p w14:paraId="4E719B49" w14:textId="12DD77B0" w:rsidR="00E53207" w:rsidRDefault="006A0813" w:rsidP="004274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Southwes</w:t>
      </w:r>
      <w:r w:rsidR="005260E1">
        <w:rPr>
          <w:sz w:val="20"/>
          <w:szCs w:val="20"/>
        </w:rPr>
        <w:t>t</w:t>
      </w:r>
      <w:r w:rsidR="005260E1">
        <w:rPr>
          <w:sz w:val="20"/>
          <w:szCs w:val="20"/>
        </w:rPr>
        <w:tab/>
      </w:r>
      <w:r w:rsidR="005260E1">
        <w:rPr>
          <w:sz w:val="20"/>
          <w:szCs w:val="20"/>
        </w:rPr>
        <w:tab/>
        <w:t>959</w:t>
      </w:r>
      <w:r w:rsidR="005260E1">
        <w:rPr>
          <w:sz w:val="20"/>
          <w:szCs w:val="20"/>
        </w:rPr>
        <w:tab/>
      </w:r>
      <w:r w:rsidR="005260E1">
        <w:rPr>
          <w:sz w:val="20"/>
          <w:szCs w:val="20"/>
        </w:rPr>
        <w:tab/>
        <w:t>(</w:t>
      </w:r>
      <w:r w:rsidR="00904AFC">
        <w:rPr>
          <w:sz w:val="20"/>
          <w:szCs w:val="20"/>
        </w:rPr>
        <w:t>3018)</w:t>
      </w:r>
    </w:p>
    <w:p w14:paraId="5706BCB7" w14:textId="534BF499" w:rsidR="001C741A" w:rsidRDefault="001C741A" w:rsidP="004274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Delta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59343B">
        <w:rPr>
          <w:sz w:val="20"/>
          <w:szCs w:val="20"/>
        </w:rPr>
        <w:t>4681)</w:t>
      </w:r>
    </w:p>
    <w:p w14:paraId="152E5BBD" w14:textId="0C2AB797" w:rsidR="008969D1" w:rsidRDefault="008969D1" w:rsidP="004274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United</w:t>
      </w:r>
      <w:r w:rsidR="00A77471">
        <w:rPr>
          <w:sz w:val="20"/>
          <w:szCs w:val="20"/>
        </w:rPr>
        <w:tab/>
      </w:r>
      <w:r w:rsidR="00A77471">
        <w:rPr>
          <w:sz w:val="20"/>
          <w:szCs w:val="20"/>
        </w:rPr>
        <w:tab/>
      </w:r>
      <w:r w:rsidR="00A77471">
        <w:rPr>
          <w:sz w:val="20"/>
          <w:szCs w:val="20"/>
        </w:rPr>
        <w:tab/>
        <w:t>(1929)</w:t>
      </w:r>
      <w:r w:rsidR="00A2218B">
        <w:rPr>
          <w:sz w:val="20"/>
          <w:szCs w:val="20"/>
        </w:rPr>
        <w:tab/>
      </w:r>
      <w:r w:rsidR="00A2218B">
        <w:rPr>
          <w:sz w:val="20"/>
          <w:szCs w:val="20"/>
        </w:rPr>
        <w:tab/>
        <w:t>(6942)</w:t>
      </w:r>
    </w:p>
    <w:p w14:paraId="573F2834" w14:textId="77777777" w:rsidR="00A2218B" w:rsidRDefault="00A2218B" w:rsidP="00427449">
      <w:pPr>
        <w:spacing w:after="0" w:line="240" w:lineRule="auto"/>
        <w:rPr>
          <w:sz w:val="20"/>
          <w:szCs w:val="20"/>
        </w:rPr>
      </w:pPr>
    </w:p>
    <w:p w14:paraId="7ABD1800" w14:textId="536595FB" w:rsidR="00A2218B" w:rsidRDefault="00E660FD" w:rsidP="004274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Emirates</w:t>
      </w:r>
      <w:r w:rsidR="00062A1B">
        <w:rPr>
          <w:sz w:val="20"/>
          <w:szCs w:val="20"/>
        </w:rPr>
        <w:t xml:space="preserve"> </w:t>
      </w:r>
      <w:r w:rsidR="00062A1B" w:rsidRPr="00062A1B">
        <w:rPr>
          <w:color w:val="FF0000"/>
          <w:sz w:val="18"/>
          <w:szCs w:val="18"/>
        </w:rPr>
        <w:t>(</w:t>
      </w:r>
      <w:r w:rsidR="00C43612">
        <w:rPr>
          <w:color w:val="FF0000"/>
          <w:sz w:val="18"/>
          <w:szCs w:val="18"/>
        </w:rPr>
        <w:t>7</w:t>
      </w:r>
      <w:r w:rsidR="00062A1B" w:rsidRPr="00062A1B">
        <w:rPr>
          <w:color w:val="FF0000"/>
          <w:sz w:val="18"/>
          <w:szCs w:val="18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6170DB">
        <w:rPr>
          <w:sz w:val="20"/>
          <w:szCs w:val="20"/>
        </w:rPr>
        <w:t>1025)</w:t>
      </w:r>
      <w:r w:rsidR="006170DB">
        <w:rPr>
          <w:sz w:val="20"/>
          <w:szCs w:val="20"/>
        </w:rPr>
        <w:tab/>
      </w:r>
      <w:r w:rsidR="006170DB">
        <w:rPr>
          <w:sz w:val="20"/>
          <w:szCs w:val="20"/>
        </w:rPr>
        <w:tab/>
      </w:r>
      <w:r w:rsidR="00062A1B">
        <w:rPr>
          <w:sz w:val="20"/>
          <w:szCs w:val="20"/>
        </w:rPr>
        <w:t>(5431)</w:t>
      </w:r>
    </w:p>
    <w:p w14:paraId="3B328FB3" w14:textId="22EC0085" w:rsidR="00B07723" w:rsidRDefault="00B07723" w:rsidP="0042744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Qatar Airways</w:t>
      </w:r>
      <w:r w:rsidR="005A56EF">
        <w:rPr>
          <w:sz w:val="20"/>
          <w:szCs w:val="20"/>
        </w:rPr>
        <w:t xml:space="preserve"> </w:t>
      </w:r>
      <w:r w:rsidR="005A56EF" w:rsidRPr="005A56EF">
        <w:rPr>
          <w:color w:val="FF0000"/>
          <w:sz w:val="18"/>
          <w:szCs w:val="18"/>
        </w:rPr>
        <w:t>(</w:t>
      </w:r>
      <w:r w:rsidR="00C43612">
        <w:rPr>
          <w:color w:val="FF0000"/>
          <w:sz w:val="18"/>
          <w:szCs w:val="18"/>
        </w:rPr>
        <w:t>7</w:t>
      </w:r>
      <w:r w:rsidR="005A56EF" w:rsidRPr="005A56EF">
        <w:rPr>
          <w:color w:val="FF0000"/>
          <w:sz w:val="18"/>
          <w:szCs w:val="18"/>
        </w:rPr>
        <w:t>)</w:t>
      </w:r>
      <w:r w:rsidRPr="005A56EF">
        <w:rPr>
          <w:color w:val="FF0000"/>
          <w:sz w:val="18"/>
          <w:szCs w:val="18"/>
        </w:rPr>
        <w:tab/>
      </w:r>
      <w:r>
        <w:rPr>
          <w:sz w:val="20"/>
          <w:szCs w:val="20"/>
        </w:rPr>
        <w:tab/>
      </w:r>
      <w:r w:rsidR="00030518">
        <w:rPr>
          <w:sz w:val="20"/>
          <w:szCs w:val="20"/>
        </w:rPr>
        <w:t>1508</w:t>
      </w:r>
      <w:r w:rsidR="00030518">
        <w:rPr>
          <w:sz w:val="20"/>
          <w:szCs w:val="20"/>
        </w:rPr>
        <w:tab/>
      </w:r>
      <w:r w:rsidR="00030518">
        <w:rPr>
          <w:sz w:val="20"/>
          <w:szCs w:val="20"/>
        </w:rPr>
        <w:tab/>
      </w:r>
      <w:r w:rsidR="0054184A">
        <w:rPr>
          <w:sz w:val="20"/>
          <w:szCs w:val="20"/>
        </w:rPr>
        <w:t>(4007)</w:t>
      </w:r>
    </w:p>
    <w:p w14:paraId="7207FED7" w14:textId="77777777" w:rsidR="00A64B1D" w:rsidRDefault="00A64B1D" w:rsidP="00427449">
      <w:pPr>
        <w:spacing w:after="0" w:line="240" w:lineRule="auto"/>
        <w:rPr>
          <w:sz w:val="20"/>
          <w:szCs w:val="20"/>
        </w:rPr>
      </w:pPr>
    </w:p>
    <w:p w14:paraId="1D7ADE4D" w14:textId="0CF51D05" w:rsidR="00A64B1D" w:rsidRDefault="007A1949" w:rsidP="00427449">
      <w:pPr>
        <w:spacing w:after="0" w:line="240" w:lineRule="auto"/>
        <w:rPr>
          <w:sz w:val="24"/>
          <w:szCs w:val="24"/>
        </w:rPr>
      </w:pPr>
      <w:r w:rsidRPr="00F56FFE">
        <w:rPr>
          <w:sz w:val="24"/>
          <w:szCs w:val="24"/>
        </w:rPr>
        <w:t>Come si può osservare a parte le due compagnie Usa Southwest e Delta,</w:t>
      </w:r>
      <w:r w:rsidR="00334C30">
        <w:rPr>
          <w:sz w:val="24"/>
          <w:szCs w:val="24"/>
        </w:rPr>
        <w:t xml:space="preserve"> </w:t>
      </w:r>
      <w:r w:rsidRPr="00F56FFE">
        <w:rPr>
          <w:sz w:val="24"/>
          <w:szCs w:val="24"/>
        </w:rPr>
        <w:t>tutti i vettori</w:t>
      </w:r>
      <w:r w:rsidR="00E30708" w:rsidRPr="00F56FFE">
        <w:rPr>
          <w:sz w:val="24"/>
          <w:szCs w:val="24"/>
        </w:rPr>
        <w:t xml:space="preserve"> mostrano sostanziali perdite  decisamente inferiori però a quanto registrato nell’anno finanziario precedente</w:t>
      </w:r>
      <w:r w:rsidR="00334C30">
        <w:rPr>
          <w:sz w:val="24"/>
          <w:szCs w:val="24"/>
        </w:rPr>
        <w:t>; un commento a parte merita il profitto di Qatar Airways</w:t>
      </w:r>
      <w:r w:rsidR="00B57C29">
        <w:rPr>
          <w:sz w:val="24"/>
          <w:szCs w:val="24"/>
        </w:rPr>
        <w:t xml:space="preserve"> in quanto analizzando il suo bilancio appare sotto la voce revenue una forte componente cargo</w:t>
      </w:r>
      <w:r w:rsidR="00537E8B">
        <w:rPr>
          <w:sz w:val="24"/>
          <w:szCs w:val="24"/>
        </w:rPr>
        <w:t xml:space="preserve"> che evidentement</w:t>
      </w:r>
      <w:r w:rsidR="00244F88">
        <w:rPr>
          <w:sz w:val="24"/>
          <w:szCs w:val="24"/>
        </w:rPr>
        <w:t>e</w:t>
      </w:r>
      <w:r w:rsidR="00537E8B">
        <w:rPr>
          <w:sz w:val="24"/>
          <w:szCs w:val="24"/>
        </w:rPr>
        <w:t xml:space="preserve"> ha svolto un ruolo primario nel raggiungimento dell’utile di esercizio</w:t>
      </w:r>
      <w:r w:rsidR="00244F88">
        <w:rPr>
          <w:sz w:val="24"/>
          <w:szCs w:val="24"/>
        </w:rPr>
        <w:t>, in pratica le entrate passeggeri e cargo sono quasi paritarie</w:t>
      </w:r>
      <w:r w:rsidR="00D32825">
        <w:rPr>
          <w:sz w:val="24"/>
          <w:szCs w:val="24"/>
        </w:rPr>
        <w:t>:</w:t>
      </w:r>
    </w:p>
    <w:p w14:paraId="14A6DF52" w14:textId="77777777" w:rsidR="003A5F61" w:rsidRDefault="003A5F61" w:rsidP="00427449">
      <w:pPr>
        <w:spacing w:after="0" w:line="240" w:lineRule="auto"/>
        <w:rPr>
          <w:sz w:val="24"/>
          <w:szCs w:val="24"/>
        </w:rPr>
      </w:pPr>
    </w:p>
    <w:p w14:paraId="735B42A1" w14:textId="66CD38B9" w:rsidR="003A5F61" w:rsidRDefault="003A5F61" w:rsidP="004274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Revenue</w:t>
      </w:r>
      <w:r w:rsidR="005B598F">
        <w:rPr>
          <w:sz w:val="24"/>
          <w:szCs w:val="24"/>
        </w:rPr>
        <w:t xml:space="preserve"> </w:t>
      </w:r>
      <w:r w:rsidR="005B598F" w:rsidRPr="005B598F">
        <w:rPr>
          <w:color w:val="FF0000"/>
          <w:sz w:val="18"/>
          <w:szCs w:val="18"/>
        </w:rPr>
        <w:t>(8)</w:t>
      </w:r>
      <w:r>
        <w:rPr>
          <w:sz w:val="24"/>
          <w:szCs w:val="24"/>
        </w:rPr>
        <w:tab/>
      </w:r>
      <w:r w:rsidR="00D90E05">
        <w:rPr>
          <w:sz w:val="24"/>
          <w:szCs w:val="24"/>
        </w:rPr>
        <w:tab/>
      </w:r>
      <w:r>
        <w:rPr>
          <w:sz w:val="24"/>
          <w:szCs w:val="24"/>
        </w:rPr>
        <w:t>QAR</w:t>
      </w:r>
      <w:r>
        <w:rPr>
          <w:sz w:val="24"/>
          <w:szCs w:val="24"/>
        </w:rPr>
        <w:tab/>
      </w:r>
      <w:r w:rsidR="00FA7551">
        <w:rPr>
          <w:sz w:val="24"/>
          <w:szCs w:val="24"/>
        </w:rPr>
        <w:t xml:space="preserve">52.305 = Euro </w:t>
      </w:r>
      <w:r w:rsidR="00D90E05">
        <w:rPr>
          <w:sz w:val="24"/>
          <w:szCs w:val="24"/>
        </w:rPr>
        <w:t xml:space="preserve">14105 </w:t>
      </w:r>
      <w:r w:rsidR="008A4EC7" w:rsidRPr="008A4EC7">
        <w:rPr>
          <w:i/>
          <w:iCs/>
          <w:sz w:val="20"/>
          <w:szCs w:val="20"/>
        </w:rPr>
        <w:t>(</w:t>
      </w:r>
      <w:r w:rsidR="00D90E05" w:rsidRPr="008A4EC7">
        <w:rPr>
          <w:i/>
          <w:iCs/>
          <w:sz w:val="20"/>
          <w:szCs w:val="20"/>
        </w:rPr>
        <w:t>milioni</w:t>
      </w:r>
      <w:r w:rsidR="008A4EC7" w:rsidRPr="008A4EC7">
        <w:rPr>
          <w:i/>
          <w:iCs/>
          <w:sz w:val="20"/>
          <w:szCs w:val="20"/>
        </w:rPr>
        <w:t>)</w:t>
      </w:r>
    </w:p>
    <w:p w14:paraId="319AE65D" w14:textId="47C77F55" w:rsidR="00D90E05" w:rsidRDefault="00D90E05" w:rsidP="004274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 cui passeggeri:</w:t>
      </w:r>
      <w:r>
        <w:rPr>
          <w:sz w:val="24"/>
          <w:szCs w:val="24"/>
        </w:rPr>
        <w:tab/>
        <w:t xml:space="preserve">QAR </w:t>
      </w:r>
      <w:r w:rsidR="00F408CB">
        <w:rPr>
          <w:sz w:val="24"/>
          <w:szCs w:val="24"/>
        </w:rPr>
        <w:t xml:space="preserve">    24.675 = Euro </w:t>
      </w:r>
      <w:r w:rsidR="00512D07">
        <w:rPr>
          <w:sz w:val="24"/>
          <w:szCs w:val="24"/>
        </w:rPr>
        <w:t xml:space="preserve">  6654</w:t>
      </w:r>
    </w:p>
    <w:p w14:paraId="2368AD2D" w14:textId="7CAFF723" w:rsidR="00512D07" w:rsidRDefault="00512D07" w:rsidP="004274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 cui cargo: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QAR</w:t>
      </w:r>
      <w:r w:rsidR="006718EF">
        <w:rPr>
          <w:sz w:val="24"/>
          <w:szCs w:val="24"/>
        </w:rPr>
        <w:tab/>
      </w:r>
      <w:r w:rsidR="00775651">
        <w:rPr>
          <w:sz w:val="24"/>
          <w:szCs w:val="24"/>
        </w:rPr>
        <w:t>23.036</w:t>
      </w:r>
      <w:r w:rsidR="005755EB">
        <w:rPr>
          <w:sz w:val="24"/>
          <w:szCs w:val="24"/>
        </w:rPr>
        <w:t xml:space="preserve"> = Euro</w:t>
      </w:r>
      <w:r w:rsidR="00645977">
        <w:rPr>
          <w:sz w:val="24"/>
          <w:szCs w:val="24"/>
        </w:rPr>
        <w:t xml:space="preserve">   6212</w:t>
      </w:r>
    </w:p>
    <w:p w14:paraId="36530531" w14:textId="77777777" w:rsidR="005F7C25" w:rsidRDefault="005F7C25" w:rsidP="00427449">
      <w:pPr>
        <w:spacing w:after="0" w:line="240" w:lineRule="auto"/>
        <w:rPr>
          <w:sz w:val="24"/>
          <w:szCs w:val="24"/>
        </w:rPr>
      </w:pPr>
    </w:p>
    <w:p w14:paraId="1A84E313" w14:textId="011A5CF2" w:rsidR="005F7C25" w:rsidRDefault="005F7C25" w:rsidP="00867B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Ora </w:t>
      </w:r>
      <w:r w:rsidR="00FE7F22">
        <w:rPr>
          <w:sz w:val="24"/>
          <w:szCs w:val="24"/>
        </w:rPr>
        <w:t>vi mostriamo le prime dieci posizioni tratte dal</w:t>
      </w:r>
      <w:r w:rsidR="00FE7F22" w:rsidRPr="00FE7F22">
        <w:rPr>
          <w:sz w:val="24"/>
          <w:szCs w:val="24"/>
        </w:rPr>
        <w:t xml:space="preserve"> rapporto annuale sui marchi delle compagnie aeree di maggior </w:t>
      </w:r>
      <w:proofErr w:type="gramStart"/>
      <w:r w:rsidR="00FE7F22" w:rsidRPr="00FE7F22">
        <w:rPr>
          <w:sz w:val="24"/>
          <w:szCs w:val="24"/>
        </w:rPr>
        <w:t>valore</w:t>
      </w:r>
      <w:r w:rsidR="00867B75">
        <w:rPr>
          <w:sz w:val="24"/>
          <w:szCs w:val="24"/>
        </w:rPr>
        <w:t>,</w:t>
      </w:r>
      <w:r w:rsidR="002C43A3">
        <w:rPr>
          <w:sz w:val="24"/>
          <w:szCs w:val="24"/>
        </w:rPr>
        <w:t xml:space="preserve">  una</w:t>
      </w:r>
      <w:proofErr w:type="gramEnd"/>
      <w:r w:rsidR="002C43A3">
        <w:rPr>
          <w:sz w:val="24"/>
          <w:szCs w:val="24"/>
        </w:rPr>
        <w:t xml:space="preserve"> interessante classifica annuale redatta </w:t>
      </w:r>
      <w:r w:rsidR="00E35584">
        <w:rPr>
          <w:sz w:val="24"/>
          <w:szCs w:val="24"/>
        </w:rPr>
        <w:t>da una società</w:t>
      </w:r>
      <w:r w:rsidR="00867B75" w:rsidRPr="00867B75">
        <w:rPr>
          <w:sz w:val="24"/>
          <w:szCs w:val="24"/>
        </w:rPr>
        <w:t xml:space="preserve"> leader mondiale nella consulenza per la valutazione dei marchi</w:t>
      </w:r>
      <w:r w:rsidR="00E35584">
        <w:rPr>
          <w:sz w:val="24"/>
          <w:szCs w:val="24"/>
        </w:rPr>
        <w:t xml:space="preserve"> </w:t>
      </w:r>
      <w:r w:rsidR="00E35584" w:rsidRPr="009E3131">
        <w:rPr>
          <w:color w:val="FF0000"/>
          <w:sz w:val="18"/>
          <w:szCs w:val="18"/>
        </w:rPr>
        <w:t>(9)</w:t>
      </w:r>
      <w:r w:rsidR="00E35584">
        <w:rPr>
          <w:sz w:val="24"/>
          <w:szCs w:val="24"/>
        </w:rPr>
        <w:t>.</w:t>
      </w:r>
      <w:r w:rsidR="00F92C35">
        <w:rPr>
          <w:sz w:val="24"/>
          <w:szCs w:val="24"/>
        </w:rPr>
        <w:t xml:space="preserve"> Le cifre sono espressi in miliardi di dollari Usa, accanto compare la </w:t>
      </w:r>
      <w:r w:rsidR="005056CD">
        <w:rPr>
          <w:sz w:val="24"/>
          <w:szCs w:val="24"/>
        </w:rPr>
        <w:t xml:space="preserve">percentuale di </w:t>
      </w:r>
      <w:proofErr w:type="gramStart"/>
      <w:r w:rsidR="005056CD">
        <w:rPr>
          <w:sz w:val="24"/>
          <w:szCs w:val="24"/>
        </w:rPr>
        <w:t>aumento  (</w:t>
      </w:r>
      <w:proofErr w:type="gramEnd"/>
      <w:r w:rsidR="005056CD">
        <w:rPr>
          <w:sz w:val="24"/>
          <w:szCs w:val="24"/>
        </w:rPr>
        <w:t>diminuzione) rispetto all’anno precedente</w:t>
      </w:r>
      <w:r w:rsidR="00B22B26">
        <w:rPr>
          <w:sz w:val="24"/>
          <w:szCs w:val="24"/>
        </w:rPr>
        <w:t>,</w:t>
      </w:r>
      <w:r w:rsidR="005056CD">
        <w:rPr>
          <w:sz w:val="24"/>
          <w:szCs w:val="24"/>
        </w:rPr>
        <w:t xml:space="preserve"> nonché </w:t>
      </w:r>
      <w:r w:rsidR="004925E5">
        <w:rPr>
          <w:sz w:val="24"/>
          <w:szCs w:val="24"/>
        </w:rPr>
        <w:t>la posizione occupata</w:t>
      </w:r>
      <w:r w:rsidR="00726C4F">
        <w:rPr>
          <w:sz w:val="24"/>
          <w:szCs w:val="24"/>
        </w:rPr>
        <w:t>:</w:t>
      </w:r>
    </w:p>
    <w:p w14:paraId="1ED710E0" w14:textId="77777777" w:rsidR="00F56336" w:rsidRDefault="00F56336" w:rsidP="00867B75">
      <w:pPr>
        <w:spacing w:after="0" w:line="240" w:lineRule="auto"/>
        <w:rPr>
          <w:sz w:val="24"/>
          <w:szCs w:val="24"/>
        </w:rPr>
      </w:pPr>
    </w:p>
    <w:p w14:paraId="47079DA2" w14:textId="77777777" w:rsidR="00F56336" w:rsidRDefault="00F56336" w:rsidP="00867B75">
      <w:pPr>
        <w:spacing w:after="0" w:line="240" w:lineRule="auto"/>
        <w:rPr>
          <w:sz w:val="24"/>
          <w:szCs w:val="24"/>
        </w:rPr>
      </w:pPr>
    </w:p>
    <w:p w14:paraId="08478AE0" w14:textId="77777777" w:rsidR="005E5EE6" w:rsidRDefault="005E5EE6" w:rsidP="00867B75">
      <w:pPr>
        <w:spacing w:after="0" w:line="240" w:lineRule="auto"/>
        <w:rPr>
          <w:sz w:val="24"/>
          <w:szCs w:val="24"/>
        </w:rPr>
      </w:pPr>
    </w:p>
    <w:p w14:paraId="1DB4A6CE" w14:textId="2F4EC2FA" w:rsidR="005E5EE6" w:rsidRPr="005E5EE6" w:rsidRDefault="005E5EE6" w:rsidP="00867B75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Valore</w:t>
      </w:r>
      <w:r w:rsidR="00036B38">
        <w:rPr>
          <w:i/>
          <w:iCs/>
          <w:sz w:val="18"/>
          <w:szCs w:val="18"/>
        </w:rPr>
        <w:t xml:space="preserve">        +/-</w:t>
      </w:r>
      <w:r w:rsidR="00036B38">
        <w:rPr>
          <w:i/>
          <w:iCs/>
          <w:sz w:val="18"/>
          <w:szCs w:val="18"/>
        </w:rPr>
        <w:tab/>
      </w:r>
      <w:r w:rsidR="00036B38">
        <w:rPr>
          <w:i/>
          <w:iCs/>
          <w:sz w:val="18"/>
          <w:szCs w:val="18"/>
        </w:rPr>
        <w:tab/>
        <w:t>posizione anno precedente</w:t>
      </w:r>
    </w:p>
    <w:p w14:paraId="1432C2E9" w14:textId="77777777" w:rsidR="004F1EFA" w:rsidRDefault="004F1EFA" w:rsidP="00867B75">
      <w:pPr>
        <w:spacing w:after="0" w:line="240" w:lineRule="auto"/>
        <w:rPr>
          <w:sz w:val="24"/>
          <w:szCs w:val="24"/>
        </w:rPr>
      </w:pPr>
    </w:p>
    <w:p w14:paraId="232D892C" w14:textId="72879E77" w:rsidR="004F1EFA" w:rsidRPr="004F1EFA" w:rsidRDefault="004F1EFA" w:rsidP="004F1EFA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F1EFA">
        <w:rPr>
          <w:sz w:val="20"/>
          <w:szCs w:val="20"/>
        </w:rPr>
        <w:t>Delta Airlines</w:t>
      </w:r>
      <w:r w:rsidRPr="004F1EFA">
        <w:rPr>
          <w:sz w:val="20"/>
          <w:szCs w:val="20"/>
        </w:rPr>
        <w:tab/>
      </w:r>
      <w:r w:rsidRPr="004F1EFA">
        <w:rPr>
          <w:sz w:val="20"/>
          <w:szCs w:val="20"/>
        </w:rPr>
        <w:tab/>
        <w:t xml:space="preserve">7.3 </w:t>
      </w:r>
      <w:r w:rsidR="00981D0B">
        <w:rPr>
          <w:sz w:val="20"/>
          <w:szCs w:val="20"/>
        </w:rPr>
        <w:tab/>
        <w:t>+27%</w:t>
      </w:r>
      <w:r w:rsidR="00036B38">
        <w:rPr>
          <w:sz w:val="20"/>
          <w:szCs w:val="20"/>
        </w:rPr>
        <w:tab/>
      </w:r>
      <w:r w:rsidR="00036B38">
        <w:rPr>
          <w:sz w:val="20"/>
          <w:szCs w:val="20"/>
        </w:rPr>
        <w:tab/>
      </w:r>
      <w:r w:rsidR="00036B38">
        <w:rPr>
          <w:sz w:val="20"/>
          <w:szCs w:val="20"/>
        </w:rPr>
        <w:tab/>
        <w:t>1</w:t>
      </w:r>
    </w:p>
    <w:p w14:paraId="14BEEF11" w14:textId="2EE7E1C4" w:rsidR="004F1EFA" w:rsidRDefault="00007644" w:rsidP="004F1EFA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American Airlines</w:t>
      </w:r>
      <w:r>
        <w:rPr>
          <w:sz w:val="20"/>
          <w:szCs w:val="20"/>
        </w:rPr>
        <w:tab/>
        <w:t>6.3</w:t>
      </w:r>
      <w:r w:rsidR="00981D0B">
        <w:rPr>
          <w:sz w:val="20"/>
          <w:szCs w:val="20"/>
        </w:rPr>
        <w:tab/>
        <w:t>+</w:t>
      </w:r>
      <w:r w:rsidR="00956A5F">
        <w:rPr>
          <w:sz w:val="20"/>
          <w:szCs w:val="20"/>
        </w:rPr>
        <w:t>17%</w:t>
      </w:r>
      <w:r w:rsidR="00036B38">
        <w:rPr>
          <w:sz w:val="20"/>
          <w:szCs w:val="20"/>
        </w:rPr>
        <w:tab/>
      </w:r>
      <w:r w:rsidR="00036B38">
        <w:rPr>
          <w:sz w:val="20"/>
          <w:szCs w:val="20"/>
        </w:rPr>
        <w:tab/>
      </w:r>
      <w:r w:rsidR="00036B38">
        <w:rPr>
          <w:sz w:val="20"/>
          <w:szCs w:val="20"/>
        </w:rPr>
        <w:tab/>
        <w:t>2</w:t>
      </w:r>
    </w:p>
    <w:p w14:paraId="40A4928C" w14:textId="6552D67A" w:rsidR="00956A5F" w:rsidRDefault="00956A5F" w:rsidP="004F1EFA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United Airlines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5.5</w:t>
      </w:r>
      <w:r>
        <w:rPr>
          <w:sz w:val="20"/>
          <w:szCs w:val="20"/>
        </w:rPr>
        <w:tab/>
        <w:t>+10%</w:t>
      </w:r>
      <w:r w:rsidR="00036B38">
        <w:rPr>
          <w:sz w:val="20"/>
          <w:szCs w:val="20"/>
        </w:rPr>
        <w:tab/>
      </w:r>
      <w:r w:rsidR="00036B38">
        <w:rPr>
          <w:sz w:val="20"/>
          <w:szCs w:val="20"/>
        </w:rPr>
        <w:tab/>
      </w:r>
      <w:r w:rsidR="00036B38">
        <w:rPr>
          <w:sz w:val="20"/>
          <w:szCs w:val="20"/>
        </w:rPr>
        <w:tab/>
        <w:t>3</w:t>
      </w:r>
    </w:p>
    <w:p w14:paraId="74549F1E" w14:textId="01964A8B" w:rsidR="00956A5F" w:rsidRDefault="00DD77AA" w:rsidP="004F1EFA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Emirates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5.0</w:t>
      </w:r>
      <w:r>
        <w:rPr>
          <w:sz w:val="20"/>
          <w:szCs w:val="20"/>
        </w:rPr>
        <w:tab/>
        <w:t>+ 7%</w:t>
      </w:r>
      <w:r w:rsidR="00036B38">
        <w:rPr>
          <w:sz w:val="20"/>
          <w:szCs w:val="20"/>
        </w:rPr>
        <w:tab/>
      </w:r>
      <w:r w:rsidR="00036B38">
        <w:rPr>
          <w:sz w:val="20"/>
          <w:szCs w:val="20"/>
        </w:rPr>
        <w:tab/>
      </w:r>
      <w:r w:rsidR="00036B38">
        <w:rPr>
          <w:sz w:val="20"/>
          <w:szCs w:val="20"/>
        </w:rPr>
        <w:tab/>
        <w:t>4</w:t>
      </w:r>
    </w:p>
    <w:p w14:paraId="69167018" w14:textId="0AC5E5C4" w:rsidR="00DD77AA" w:rsidRDefault="00DD77AA" w:rsidP="004F1EFA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Southwest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E5ED3">
        <w:rPr>
          <w:sz w:val="20"/>
          <w:szCs w:val="20"/>
        </w:rPr>
        <w:t>4.9</w:t>
      </w:r>
      <w:r w:rsidR="001E5ED3">
        <w:rPr>
          <w:sz w:val="20"/>
          <w:szCs w:val="20"/>
        </w:rPr>
        <w:tab/>
        <w:t>+24%</w:t>
      </w:r>
      <w:r w:rsidR="00036B38">
        <w:rPr>
          <w:sz w:val="20"/>
          <w:szCs w:val="20"/>
        </w:rPr>
        <w:tab/>
      </w:r>
      <w:r w:rsidR="00036B38">
        <w:rPr>
          <w:sz w:val="20"/>
          <w:szCs w:val="20"/>
        </w:rPr>
        <w:tab/>
      </w:r>
      <w:r w:rsidR="00036B38">
        <w:rPr>
          <w:sz w:val="20"/>
          <w:szCs w:val="20"/>
        </w:rPr>
        <w:tab/>
        <w:t>5</w:t>
      </w:r>
    </w:p>
    <w:p w14:paraId="7FCE9F5D" w14:textId="584D73DA" w:rsidR="001E5ED3" w:rsidRDefault="001E5ED3" w:rsidP="004F1EFA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Air Canada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2.5</w:t>
      </w:r>
      <w:r>
        <w:rPr>
          <w:sz w:val="20"/>
          <w:szCs w:val="20"/>
        </w:rPr>
        <w:tab/>
      </w:r>
      <w:r w:rsidR="00595DAF">
        <w:rPr>
          <w:sz w:val="20"/>
          <w:szCs w:val="20"/>
        </w:rPr>
        <w:t>+16%</w:t>
      </w:r>
      <w:r w:rsidR="00036B38">
        <w:rPr>
          <w:sz w:val="20"/>
          <w:szCs w:val="20"/>
        </w:rPr>
        <w:tab/>
      </w:r>
      <w:r w:rsidR="00036B38">
        <w:rPr>
          <w:sz w:val="20"/>
          <w:szCs w:val="20"/>
        </w:rPr>
        <w:tab/>
      </w:r>
      <w:r w:rsidR="00036B38">
        <w:rPr>
          <w:sz w:val="20"/>
          <w:szCs w:val="20"/>
        </w:rPr>
        <w:tab/>
      </w:r>
      <w:r w:rsidR="00065032">
        <w:rPr>
          <w:sz w:val="20"/>
          <w:szCs w:val="20"/>
        </w:rPr>
        <w:t>9</w:t>
      </w:r>
    </w:p>
    <w:p w14:paraId="6069C5AE" w14:textId="63CA6243" w:rsidR="00595DAF" w:rsidRDefault="00595DAF" w:rsidP="004F1EFA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Lufthansa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2.4</w:t>
      </w:r>
      <w:r>
        <w:rPr>
          <w:sz w:val="20"/>
          <w:szCs w:val="20"/>
        </w:rPr>
        <w:tab/>
        <w:t>+16%</w:t>
      </w:r>
      <w:r w:rsidR="00065032">
        <w:rPr>
          <w:sz w:val="20"/>
          <w:szCs w:val="20"/>
        </w:rPr>
        <w:tab/>
      </w:r>
      <w:r w:rsidR="00065032">
        <w:rPr>
          <w:sz w:val="20"/>
          <w:szCs w:val="20"/>
        </w:rPr>
        <w:tab/>
      </w:r>
      <w:r w:rsidR="00065032">
        <w:rPr>
          <w:sz w:val="20"/>
          <w:szCs w:val="20"/>
        </w:rPr>
        <w:tab/>
        <w:t>11</w:t>
      </w:r>
    </w:p>
    <w:p w14:paraId="13B82905" w14:textId="23D729DB" w:rsidR="00595DAF" w:rsidRDefault="002E2DA5" w:rsidP="004F1EFA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Air China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2.4</w:t>
      </w:r>
      <w:r>
        <w:rPr>
          <w:sz w:val="20"/>
          <w:szCs w:val="20"/>
        </w:rPr>
        <w:tab/>
        <w:t>-16%</w:t>
      </w:r>
      <w:r w:rsidR="00065032">
        <w:rPr>
          <w:sz w:val="20"/>
          <w:szCs w:val="20"/>
        </w:rPr>
        <w:tab/>
      </w:r>
      <w:r w:rsidR="00065032">
        <w:rPr>
          <w:sz w:val="20"/>
          <w:szCs w:val="20"/>
        </w:rPr>
        <w:tab/>
      </w:r>
      <w:r w:rsidR="00065032">
        <w:rPr>
          <w:sz w:val="20"/>
          <w:szCs w:val="20"/>
        </w:rPr>
        <w:tab/>
        <w:t>6</w:t>
      </w:r>
    </w:p>
    <w:p w14:paraId="0B050BC0" w14:textId="5B450307" w:rsidR="002E2DA5" w:rsidRDefault="002E2DA5" w:rsidP="004F1EFA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China Southern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2.3</w:t>
      </w:r>
      <w:r>
        <w:rPr>
          <w:sz w:val="20"/>
          <w:szCs w:val="20"/>
        </w:rPr>
        <w:tab/>
        <w:t>-11%</w:t>
      </w:r>
      <w:r w:rsidR="00065032">
        <w:rPr>
          <w:sz w:val="20"/>
          <w:szCs w:val="20"/>
        </w:rPr>
        <w:tab/>
      </w:r>
      <w:r w:rsidR="00065032">
        <w:rPr>
          <w:sz w:val="20"/>
          <w:szCs w:val="20"/>
        </w:rPr>
        <w:tab/>
      </w:r>
      <w:r w:rsidR="00065032">
        <w:rPr>
          <w:sz w:val="20"/>
          <w:szCs w:val="20"/>
        </w:rPr>
        <w:tab/>
      </w:r>
      <w:r w:rsidR="001609E9">
        <w:rPr>
          <w:sz w:val="20"/>
          <w:szCs w:val="20"/>
        </w:rPr>
        <w:t>7</w:t>
      </w:r>
    </w:p>
    <w:p w14:paraId="345BF8D6" w14:textId="3F533A5C" w:rsidR="002E2DA5" w:rsidRDefault="00653DAF" w:rsidP="004F1EFA">
      <w:pPr>
        <w:pStyle w:val="Paragrafoelenco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2.3</w:t>
      </w:r>
      <w:r>
        <w:rPr>
          <w:sz w:val="20"/>
          <w:szCs w:val="20"/>
        </w:rPr>
        <w:tab/>
        <w:t>+27%</w:t>
      </w:r>
      <w:r w:rsidR="001609E9">
        <w:rPr>
          <w:sz w:val="20"/>
          <w:szCs w:val="20"/>
        </w:rPr>
        <w:tab/>
      </w:r>
      <w:r w:rsidR="001609E9">
        <w:rPr>
          <w:sz w:val="20"/>
          <w:szCs w:val="20"/>
        </w:rPr>
        <w:tab/>
      </w:r>
      <w:r w:rsidR="001609E9">
        <w:rPr>
          <w:sz w:val="20"/>
          <w:szCs w:val="20"/>
        </w:rPr>
        <w:tab/>
        <w:t>12</w:t>
      </w:r>
    </w:p>
    <w:p w14:paraId="05BA3F7A" w14:textId="77777777" w:rsidR="009D474D" w:rsidRDefault="009D474D" w:rsidP="009D474D">
      <w:pPr>
        <w:spacing w:after="0" w:line="240" w:lineRule="auto"/>
        <w:rPr>
          <w:sz w:val="20"/>
          <w:szCs w:val="20"/>
        </w:rPr>
      </w:pPr>
    </w:p>
    <w:p w14:paraId="1B07CBDE" w14:textId="77777777" w:rsidR="009D474D" w:rsidRDefault="009D474D" w:rsidP="009D474D">
      <w:pPr>
        <w:spacing w:after="0" w:line="240" w:lineRule="auto"/>
        <w:rPr>
          <w:sz w:val="20"/>
          <w:szCs w:val="20"/>
        </w:rPr>
      </w:pPr>
    </w:p>
    <w:p w14:paraId="413DE27F" w14:textId="045C47DF" w:rsidR="009D474D" w:rsidRDefault="009D474D" w:rsidP="009D47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Quali notizie dalla ITA </w:t>
      </w:r>
      <w:r w:rsidR="000A1A47">
        <w:rPr>
          <w:sz w:val="24"/>
          <w:szCs w:val="24"/>
        </w:rPr>
        <w:t xml:space="preserve">Airways?  Il decollo avvenuto in data 15 ottobre 2021 fa si che </w:t>
      </w:r>
      <w:r w:rsidR="00FD0801">
        <w:rPr>
          <w:sz w:val="24"/>
          <w:szCs w:val="24"/>
        </w:rPr>
        <w:t>nelle principali fonti che forniscono dati di traffico e statistiche la neo compagnia sia assente</w:t>
      </w:r>
      <w:r w:rsidR="00A92AF5">
        <w:rPr>
          <w:sz w:val="24"/>
          <w:szCs w:val="24"/>
        </w:rPr>
        <w:t>.</w:t>
      </w:r>
      <w:r w:rsidR="00FF0EC6">
        <w:rPr>
          <w:sz w:val="24"/>
          <w:szCs w:val="24"/>
        </w:rPr>
        <w:t xml:space="preserve"> Di tanto in tanto apprendiamo notizie sporadiche come quelle apparse sulla </w:t>
      </w:r>
      <w:proofErr w:type="gramStart"/>
      <w:r w:rsidR="00FF0EC6">
        <w:rPr>
          <w:sz w:val="24"/>
          <w:szCs w:val="24"/>
        </w:rPr>
        <w:t xml:space="preserve">stampa </w:t>
      </w:r>
      <w:r w:rsidR="00B14176">
        <w:rPr>
          <w:sz w:val="24"/>
          <w:szCs w:val="24"/>
        </w:rPr>
        <w:t xml:space="preserve"> lo</w:t>
      </w:r>
      <w:proofErr w:type="gramEnd"/>
      <w:r w:rsidR="00B14176">
        <w:rPr>
          <w:sz w:val="24"/>
          <w:szCs w:val="24"/>
        </w:rPr>
        <w:t xml:space="preserve"> scorso maggio quando la compagnia</w:t>
      </w:r>
      <w:r w:rsidR="00B14176" w:rsidRPr="00B14176">
        <w:rPr>
          <w:sz w:val="24"/>
          <w:szCs w:val="24"/>
        </w:rPr>
        <w:t xml:space="preserve"> ha festeggiato due importanti novità: 30.000 passeggeri trasportati in un solo giorno, record assoluto dall'inizio delle attività della Compagnia, e l'arrivo in flotta del secondo Airbus A350</w:t>
      </w:r>
      <w:r w:rsidR="008A222C">
        <w:rPr>
          <w:sz w:val="24"/>
          <w:szCs w:val="24"/>
        </w:rPr>
        <w:t xml:space="preserve">.  </w:t>
      </w:r>
      <w:r w:rsidR="0076026D">
        <w:rPr>
          <w:sz w:val="24"/>
          <w:szCs w:val="24"/>
        </w:rPr>
        <w:t>Ma d</w:t>
      </w:r>
      <w:r w:rsidR="008A222C">
        <w:rPr>
          <w:sz w:val="24"/>
          <w:szCs w:val="24"/>
        </w:rPr>
        <w:t xml:space="preserve">ati di traffico e risultati finanziari </w:t>
      </w:r>
      <w:proofErr w:type="gramStart"/>
      <w:r w:rsidR="008A222C">
        <w:rPr>
          <w:sz w:val="24"/>
          <w:szCs w:val="24"/>
        </w:rPr>
        <w:t xml:space="preserve">aggiornati </w:t>
      </w:r>
      <w:r w:rsidR="009603D1">
        <w:rPr>
          <w:sz w:val="24"/>
          <w:szCs w:val="24"/>
        </w:rPr>
        <w:t xml:space="preserve"> non</w:t>
      </w:r>
      <w:proofErr w:type="gramEnd"/>
      <w:r w:rsidR="009603D1">
        <w:rPr>
          <w:sz w:val="24"/>
          <w:szCs w:val="24"/>
        </w:rPr>
        <w:t xml:space="preserve"> ve ne sono</w:t>
      </w:r>
      <w:r w:rsidR="00205706">
        <w:rPr>
          <w:sz w:val="24"/>
          <w:szCs w:val="24"/>
        </w:rPr>
        <w:t>.</w:t>
      </w:r>
      <w:r w:rsidR="009603D1">
        <w:rPr>
          <w:sz w:val="24"/>
          <w:szCs w:val="24"/>
        </w:rPr>
        <w:t xml:space="preserve"> </w:t>
      </w:r>
      <w:r w:rsidR="00205706">
        <w:rPr>
          <w:sz w:val="24"/>
          <w:szCs w:val="24"/>
        </w:rPr>
        <w:t>L</w:t>
      </w:r>
      <w:r w:rsidR="009603D1">
        <w:rPr>
          <w:sz w:val="24"/>
          <w:szCs w:val="24"/>
        </w:rPr>
        <w:t xml:space="preserve">a compagnia compare </w:t>
      </w:r>
      <w:r w:rsidR="00205706">
        <w:rPr>
          <w:sz w:val="24"/>
          <w:szCs w:val="24"/>
        </w:rPr>
        <w:t xml:space="preserve">tuttavia </w:t>
      </w:r>
      <w:r w:rsidR="009603D1">
        <w:rPr>
          <w:sz w:val="24"/>
          <w:szCs w:val="24"/>
        </w:rPr>
        <w:t>ne</w:t>
      </w:r>
      <w:r w:rsidR="00A1271B">
        <w:rPr>
          <w:sz w:val="24"/>
          <w:szCs w:val="24"/>
        </w:rPr>
        <w:t xml:space="preserve">lla presentazione di Ryanair </w:t>
      </w:r>
      <w:proofErr w:type="gramStart"/>
      <w:r w:rsidR="00AF2844">
        <w:rPr>
          <w:sz w:val="24"/>
          <w:szCs w:val="24"/>
        </w:rPr>
        <w:t>al</w:t>
      </w:r>
      <w:proofErr w:type="gramEnd"/>
      <w:r w:rsidR="00AF2844">
        <w:rPr>
          <w:sz w:val="24"/>
          <w:szCs w:val="24"/>
        </w:rPr>
        <w:t xml:space="preserve"> </w:t>
      </w:r>
      <w:r w:rsidR="00AF2844" w:rsidRPr="001E24C3">
        <w:rPr>
          <w:i/>
          <w:iCs/>
          <w:sz w:val="24"/>
          <w:szCs w:val="24"/>
        </w:rPr>
        <w:t>Shareholder forum</w:t>
      </w:r>
      <w:r w:rsidR="00AF2844">
        <w:rPr>
          <w:sz w:val="24"/>
          <w:szCs w:val="24"/>
        </w:rPr>
        <w:t xml:space="preserve"> dello scorso aprile</w:t>
      </w:r>
      <w:r w:rsidR="001E24C3">
        <w:rPr>
          <w:sz w:val="24"/>
          <w:szCs w:val="24"/>
        </w:rPr>
        <w:t xml:space="preserve"> </w:t>
      </w:r>
      <w:r w:rsidR="00A27E1B" w:rsidRPr="00205706">
        <w:rPr>
          <w:color w:val="FF0000"/>
          <w:sz w:val="18"/>
          <w:szCs w:val="18"/>
        </w:rPr>
        <w:t>(10)</w:t>
      </w:r>
      <w:r w:rsidR="00A27E1B" w:rsidRPr="00205706">
        <w:rPr>
          <w:color w:val="FF0000"/>
          <w:sz w:val="24"/>
          <w:szCs w:val="24"/>
        </w:rPr>
        <w:t xml:space="preserve"> </w:t>
      </w:r>
      <w:r w:rsidR="001E24C3">
        <w:rPr>
          <w:sz w:val="24"/>
          <w:szCs w:val="24"/>
        </w:rPr>
        <w:t>laddove vengono mostrate le compagnie europee che hanno ricevuto aiuti di Stato.</w:t>
      </w:r>
    </w:p>
    <w:p w14:paraId="083D539C" w14:textId="77777777" w:rsidR="00A27E1B" w:rsidRDefault="00A27E1B" w:rsidP="009D474D">
      <w:pPr>
        <w:spacing w:after="0" w:line="240" w:lineRule="auto"/>
        <w:rPr>
          <w:sz w:val="24"/>
          <w:szCs w:val="24"/>
        </w:rPr>
      </w:pPr>
    </w:p>
    <w:p w14:paraId="7BAD2854" w14:textId="0A062114" w:rsidR="00A27E1B" w:rsidRDefault="00A27E1B" w:rsidP="00A27E1B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2FB55D" wp14:editId="7DAAC9E2">
            <wp:extent cx="2764800" cy="2073600"/>
            <wp:effectExtent l="0" t="0" r="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800" cy="20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4279A" w14:textId="77777777" w:rsidR="00975CCA" w:rsidRPr="009D474D" w:rsidRDefault="00975CCA" w:rsidP="00A27E1B">
      <w:pPr>
        <w:spacing w:after="0" w:line="240" w:lineRule="auto"/>
        <w:jc w:val="center"/>
        <w:rPr>
          <w:sz w:val="24"/>
          <w:szCs w:val="24"/>
        </w:rPr>
      </w:pPr>
    </w:p>
    <w:p w14:paraId="12160A28" w14:textId="77777777" w:rsidR="00DE395F" w:rsidRPr="004F1EFA" w:rsidRDefault="00DE395F" w:rsidP="00427449">
      <w:pPr>
        <w:spacing w:after="0" w:line="240" w:lineRule="auto"/>
        <w:rPr>
          <w:sz w:val="20"/>
          <w:szCs w:val="20"/>
        </w:rPr>
      </w:pPr>
    </w:p>
    <w:p w14:paraId="4F6C2EC1" w14:textId="77777777" w:rsidR="001B1B4B" w:rsidRDefault="001B1B4B" w:rsidP="00427449">
      <w:pPr>
        <w:spacing w:after="0" w:line="240" w:lineRule="auto"/>
        <w:rPr>
          <w:sz w:val="20"/>
          <w:szCs w:val="20"/>
        </w:rPr>
      </w:pPr>
    </w:p>
    <w:p w14:paraId="39652719" w14:textId="6B92480E" w:rsidR="001B1B4B" w:rsidRPr="00647E12" w:rsidRDefault="00647E12" w:rsidP="004274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Ita è attualmente detenuta al 100 per cento dal Tesoro</w:t>
      </w:r>
      <w:r w:rsidR="002E0A5A">
        <w:rPr>
          <w:sz w:val="24"/>
          <w:szCs w:val="24"/>
        </w:rPr>
        <w:t xml:space="preserve"> ed è ancora in attesa di concludere l’operazione di acquisizione</w:t>
      </w:r>
      <w:r w:rsidR="0076456E">
        <w:rPr>
          <w:sz w:val="24"/>
          <w:szCs w:val="24"/>
        </w:rPr>
        <w:t xml:space="preserve"> che dovrebbe venire da una cordata franco-america</w:t>
      </w:r>
      <w:r w:rsidR="00C97697">
        <w:rPr>
          <w:sz w:val="24"/>
          <w:szCs w:val="24"/>
        </w:rPr>
        <w:t>na o italo-tedesca. Pur in mancanza di dati aggiornati è fin troppo facile prevedere</w:t>
      </w:r>
      <w:r w:rsidR="00352D10">
        <w:rPr>
          <w:sz w:val="24"/>
          <w:szCs w:val="24"/>
        </w:rPr>
        <w:t xml:space="preserve"> che compagnie come Ryanair, Wizzair, Volotea, Vueling hanno abbondantemente</w:t>
      </w:r>
      <w:r w:rsidR="000F73FF">
        <w:rPr>
          <w:sz w:val="24"/>
          <w:szCs w:val="24"/>
        </w:rPr>
        <w:t xml:space="preserve"> riempito gli spazi lasciati dalla nostra ex compagnia di bandiera. Una fine ingloriosa </w:t>
      </w:r>
      <w:r w:rsidR="003235EE">
        <w:rPr>
          <w:sz w:val="24"/>
          <w:szCs w:val="24"/>
        </w:rPr>
        <w:t xml:space="preserve">non solo per Alitalia, ma </w:t>
      </w:r>
      <w:r w:rsidR="000F73FF">
        <w:rPr>
          <w:sz w:val="24"/>
          <w:szCs w:val="24"/>
        </w:rPr>
        <w:t>per</w:t>
      </w:r>
      <w:r w:rsidR="003235EE">
        <w:rPr>
          <w:sz w:val="24"/>
          <w:szCs w:val="24"/>
        </w:rPr>
        <w:t xml:space="preserve"> </w:t>
      </w:r>
      <w:proofErr w:type="gramStart"/>
      <w:r w:rsidR="003235EE">
        <w:rPr>
          <w:sz w:val="24"/>
          <w:szCs w:val="24"/>
        </w:rPr>
        <w:t xml:space="preserve">tutta </w:t>
      </w:r>
      <w:r w:rsidR="000F73FF">
        <w:rPr>
          <w:sz w:val="24"/>
          <w:szCs w:val="24"/>
        </w:rPr>
        <w:t xml:space="preserve"> l’aviazione</w:t>
      </w:r>
      <w:proofErr w:type="gramEnd"/>
      <w:r w:rsidR="000F73FF">
        <w:rPr>
          <w:sz w:val="24"/>
          <w:szCs w:val="24"/>
        </w:rPr>
        <w:t xml:space="preserve"> civile italiana.</w:t>
      </w:r>
    </w:p>
    <w:p w14:paraId="24EF6E49" w14:textId="77777777" w:rsidR="009E3131" w:rsidRDefault="009E3131" w:rsidP="00427449">
      <w:pPr>
        <w:spacing w:after="0" w:line="240" w:lineRule="auto"/>
        <w:rPr>
          <w:sz w:val="20"/>
          <w:szCs w:val="20"/>
        </w:rPr>
      </w:pPr>
    </w:p>
    <w:p w14:paraId="4FDD4761" w14:textId="77777777" w:rsidR="009E3131" w:rsidRDefault="009E3131" w:rsidP="00427449">
      <w:pPr>
        <w:spacing w:after="0" w:line="240" w:lineRule="auto"/>
        <w:rPr>
          <w:sz w:val="20"/>
          <w:szCs w:val="20"/>
        </w:rPr>
      </w:pPr>
    </w:p>
    <w:p w14:paraId="47C59214" w14:textId="77777777" w:rsidR="009511FE" w:rsidRDefault="009511FE" w:rsidP="00427449">
      <w:pPr>
        <w:spacing w:after="0" w:line="240" w:lineRule="auto"/>
        <w:rPr>
          <w:sz w:val="20"/>
          <w:szCs w:val="20"/>
        </w:rPr>
      </w:pPr>
    </w:p>
    <w:p w14:paraId="44DEA698" w14:textId="2631119A" w:rsidR="00854063" w:rsidRPr="00A64B1D" w:rsidRDefault="00854063" w:rsidP="009511FE">
      <w:pPr>
        <w:pStyle w:val="Paragrafoelenco"/>
        <w:numPr>
          <w:ilvl w:val="0"/>
          <w:numId w:val="1"/>
        </w:numPr>
        <w:spacing w:after="0" w:line="240" w:lineRule="auto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Per dettagli </w:t>
      </w:r>
      <w:r w:rsidR="007B6069">
        <w:rPr>
          <w:sz w:val="20"/>
          <w:szCs w:val="20"/>
        </w:rPr>
        <w:t>sull’agenda di Doha vedi la nostra Newsletter del 5 luglio scorso dal t</w:t>
      </w:r>
      <w:r w:rsidR="00A64B1D">
        <w:rPr>
          <w:sz w:val="20"/>
          <w:szCs w:val="20"/>
        </w:rPr>
        <w:t>i</w:t>
      </w:r>
      <w:r w:rsidR="007B6069">
        <w:rPr>
          <w:sz w:val="20"/>
          <w:szCs w:val="20"/>
        </w:rPr>
        <w:t>tolo “</w:t>
      </w:r>
      <w:r w:rsidR="007B6069" w:rsidRPr="00A64B1D">
        <w:rPr>
          <w:i/>
          <w:iCs/>
          <w:sz w:val="20"/>
          <w:szCs w:val="20"/>
        </w:rPr>
        <w:t>La Iata fra sogni e r</w:t>
      </w:r>
      <w:r w:rsidR="00A64B1D" w:rsidRPr="00A64B1D">
        <w:rPr>
          <w:i/>
          <w:iCs/>
          <w:sz w:val="20"/>
          <w:szCs w:val="20"/>
        </w:rPr>
        <w:t>ealtà”</w:t>
      </w:r>
    </w:p>
    <w:p w14:paraId="6E377CE2" w14:textId="62F3FA85" w:rsidR="009511FE" w:rsidRDefault="009511FE" w:rsidP="009511FE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Tratto da</w:t>
      </w:r>
      <w:r w:rsidR="006E4D64">
        <w:rPr>
          <w:sz w:val="20"/>
          <w:szCs w:val="20"/>
        </w:rPr>
        <w:t xml:space="preserve"> </w:t>
      </w:r>
      <w:r w:rsidR="006E4D64" w:rsidRPr="006E4D64">
        <w:rPr>
          <w:i/>
          <w:iCs/>
          <w:sz w:val="20"/>
          <w:szCs w:val="20"/>
        </w:rPr>
        <w:t>Air Passenger Market Analysis</w:t>
      </w:r>
      <w:r w:rsidR="006E4D64">
        <w:rPr>
          <w:sz w:val="20"/>
          <w:szCs w:val="20"/>
        </w:rPr>
        <w:t>, Iata, Maggio 2022</w:t>
      </w:r>
    </w:p>
    <w:p w14:paraId="1602858C" w14:textId="4C602223" w:rsidR="00A95194" w:rsidRDefault="00A95194" w:rsidP="009511FE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Il gruppo Lufthansa</w:t>
      </w:r>
      <w:r w:rsidR="00CA5D76">
        <w:rPr>
          <w:sz w:val="20"/>
          <w:szCs w:val="20"/>
        </w:rPr>
        <w:t>,</w:t>
      </w:r>
      <w:r>
        <w:rPr>
          <w:sz w:val="20"/>
          <w:szCs w:val="20"/>
        </w:rPr>
        <w:t xml:space="preserve"> oltre alle compagnie aeree</w:t>
      </w:r>
      <w:r w:rsidR="00CA5D76">
        <w:rPr>
          <w:sz w:val="20"/>
          <w:szCs w:val="20"/>
        </w:rPr>
        <w:t>,</w:t>
      </w:r>
      <w:r w:rsidR="00B14B4A">
        <w:rPr>
          <w:sz w:val="20"/>
          <w:szCs w:val="20"/>
        </w:rPr>
        <w:t xml:space="preserve"> è composto anche da</w:t>
      </w:r>
      <w:r w:rsidR="00E2064B">
        <w:rPr>
          <w:sz w:val="20"/>
          <w:szCs w:val="20"/>
        </w:rPr>
        <w:t>i dipartimenti di Logistics, MRO e Catering.</w:t>
      </w:r>
      <w:r w:rsidR="00B14B4A">
        <w:rPr>
          <w:sz w:val="20"/>
          <w:szCs w:val="20"/>
        </w:rPr>
        <w:t xml:space="preserve"> </w:t>
      </w:r>
    </w:p>
    <w:p w14:paraId="32E04BC0" w14:textId="4A03FF95" w:rsidR="00CB5C8A" w:rsidRDefault="00CB5C8A" w:rsidP="009511FE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Il bilancio Ryanair copre il periodo </w:t>
      </w:r>
      <w:proofErr w:type="gramStart"/>
      <w:r>
        <w:rPr>
          <w:sz w:val="20"/>
          <w:szCs w:val="20"/>
        </w:rPr>
        <w:t>Aprile:Marzo</w:t>
      </w:r>
      <w:proofErr w:type="gramEnd"/>
    </w:p>
    <w:p w14:paraId="6FCB0C42" w14:textId="004A9328" w:rsidR="00AB422A" w:rsidRDefault="00AB422A" w:rsidP="009511FE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I bilanci Easyjet chiudono al 30 settembre di ogni anno</w:t>
      </w:r>
      <w:r w:rsidR="003C1F03">
        <w:rPr>
          <w:sz w:val="20"/>
          <w:szCs w:val="20"/>
        </w:rPr>
        <w:t>. Pertanto le cifre di quest</w:t>
      </w:r>
      <w:r w:rsidR="00F72E77">
        <w:rPr>
          <w:sz w:val="20"/>
          <w:szCs w:val="20"/>
        </w:rPr>
        <w:t>o</w:t>
      </w:r>
      <w:r w:rsidR="003C1F03">
        <w:rPr>
          <w:sz w:val="20"/>
          <w:szCs w:val="20"/>
        </w:rPr>
        <w:t xml:space="preserve"> vettore si riferiscono al p</w:t>
      </w:r>
      <w:r w:rsidR="009C1B3D">
        <w:rPr>
          <w:sz w:val="20"/>
          <w:szCs w:val="20"/>
        </w:rPr>
        <w:t>e</w:t>
      </w:r>
      <w:r w:rsidR="003C1F03">
        <w:rPr>
          <w:sz w:val="20"/>
          <w:szCs w:val="20"/>
        </w:rPr>
        <w:t>riodo O</w:t>
      </w:r>
      <w:r w:rsidR="009C1B3D">
        <w:rPr>
          <w:sz w:val="20"/>
          <w:szCs w:val="20"/>
        </w:rPr>
        <w:t>t</w:t>
      </w:r>
      <w:r w:rsidR="003C1F03">
        <w:rPr>
          <w:sz w:val="20"/>
          <w:szCs w:val="20"/>
        </w:rPr>
        <w:t>t20/Se</w:t>
      </w:r>
      <w:r w:rsidR="00CA5D76">
        <w:rPr>
          <w:sz w:val="20"/>
          <w:szCs w:val="20"/>
        </w:rPr>
        <w:t>t</w:t>
      </w:r>
      <w:r w:rsidR="003C1F03">
        <w:rPr>
          <w:sz w:val="20"/>
          <w:szCs w:val="20"/>
        </w:rPr>
        <w:t>21</w:t>
      </w:r>
    </w:p>
    <w:p w14:paraId="3A7884B3" w14:textId="7815DAC2" w:rsidR="00570879" w:rsidRDefault="00570879" w:rsidP="009511FE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Il gruppo IAG comprende: British Airways, Iberia, </w:t>
      </w:r>
      <w:r w:rsidR="00F240E3">
        <w:rPr>
          <w:sz w:val="20"/>
          <w:szCs w:val="20"/>
        </w:rPr>
        <w:t xml:space="preserve">Iberia Express, </w:t>
      </w:r>
      <w:r w:rsidR="00D10943">
        <w:rPr>
          <w:sz w:val="20"/>
          <w:szCs w:val="20"/>
        </w:rPr>
        <w:t>Vueling, Aer Lingus, Level</w:t>
      </w:r>
      <w:r w:rsidR="00F72E77">
        <w:rPr>
          <w:sz w:val="20"/>
          <w:szCs w:val="20"/>
        </w:rPr>
        <w:t>.</w:t>
      </w:r>
    </w:p>
    <w:p w14:paraId="3439C390" w14:textId="3BC432E8" w:rsidR="00062A1B" w:rsidRDefault="00062A1B" w:rsidP="009511FE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Risultati al 31 marzo 2022</w:t>
      </w:r>
    </w:p>
    <w:p w14:paraId="37E82016" w14:textId="797641AE" w:rsidR="0018367F" w:rsidRDefault="0018367F" w:rsidP="009511FE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 cifra comprende oltre al revenue operativo anche “other operating income”</w:t>
      </w:r>
      <w:r w:rsidR="004F7D82">
        <w:rPr>
          <w:sz w:val="20"/>
          <w:szCs w:val="20"/>
        </w:rPr>
        <w:t xml:space="preserve"> </w:t>
      </w:r>
      <w:r w:rsidR="00492EE7">
        <w:rPr>
          <w:sz w:val="20"/>
          <w:szCs w:val="20"/>
        </w:rPr>
        <w:t xml:space="preserve">; la cifra in </w:t>
      </w:r>
      <w:r w:rsidR="008A4EC7">
        <w:rPr>
          <w:sz w:val="20"/>
          <w:szCs w:val="20"/>
        </w:rPr>
        <w:t>QAR (</w:t>
      </w:r>
      <w:r w:rsidR="008A4EC7" w:rsidRPr="008A4EC7">
        <w:rPr>
          <w:sz w:val="20"/>
          <w:szCs w:val="20"/>
        </w:rPr>
        <w:t>qatari riyal</w:t>
      </w:r>
      <w:r w:rsidR="008A4EC7">
        <w:rPr>
          <w:sz w:val="20"/>
          <w:szCs w:val="20"/>
        </w:rPr>
        <w:t>s) è espress</w:t>
      </w:r>
      <w:r w:rsidR="00F240E3">
        <w:rPr>
          <w:sz w:val="20"/>
          <w:szCs w:val="20"/>
        </w:rPr>
        <w:t>a</w:t>
      </w:r>
      <w:r w:rsidR="008A4EC7">
        <w:rPr>
          <w:sz w:val="20"/>
          <w:szCs w:val="20"/>
        </w:rPr>
        <w:t xml:space="preserve"> in milioni</w:t>
      </w:r>
    </w:p>
    <w:p w14:paraId="10F91A23" w14:textId="0C77EE43" w:rsidR="009E3131" w:rsidRDefault="009E3131" w:rsidP="009511FE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Brand</w:t>
      </w:r>
      <w:r w:rsidR="00636734">
        <w:rPr>
          <w:sz w:val="20"/>
          <w:szCs w:val="20"/>
        </w:rPr>
        <w:t xml:space="preserve"> Finance, “Airlines 50, 2022”</w:t>
      </w:r>
    </w:p>
    <w:p w14:paraId="162E4EAA" w14:textId="139E5207" w:rsidR="00A27E1B" w:rsidRDefault="00A27E1B" w:rsidP="009511FE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Per la precisione la pagina da noi mostrata è la numero </w:t>
      </w:r>
      <w:proofErr w:type="gramStart"/>
      <w:r>
        <w:rPr>
          <w:sz w:val="20"/>
          <w:szCs w:val="20"/>
        </w:rPr>
        <w:t xml:space="preserve">17 </w:t>
      </w:r>
      <w:r w:rsidR="00D54328">
        <w:rPr>
          <w:sz w:val="20"/>
          <w:szCs w:val="20"/>
        </w:rPr>
        <w:t>;</w:t>
      </w:r>
      <w:proofErr w:type="gramEnd"/>
      <w:r w:rsidR="00D54328">
        <w:rPr>
          <w:sz w:val="20"/>
          <w:szCs w:val="20"/>
        </w:rPr>
        <w:t xml:space="preserve"> </w:t>
      </w:r>
      <w:hyperlink r:id="rId9" w:history="1">
        <w:r w:rsidR="001650D7" w:rsidRPr="0010232B">
          <w:rPr>
            <w:rStyle w:val="Collegamentoipertestuale"/>
            <w:sz w:val="20"/>
            <w:szCs w:val="20"/>
          </w:rPr>
          <w:t>https://investor.ryanair.com/wp-content/uploads/2022/04/Ryanair-Shareholder-Forum-Apr.-06-2022-Final.pdf</w:t>
        </w:r>
      </w:hyperlink>
    </w:p>
    <w:p w14:paraId="05AA371E" w14:textId="77777777" w:rsidR="001650D7" w:rsidRDefault="001650D7" w:rsidP="001650D7">
      <w:pPr>
        <w:spacing w:after="0" w:line="240" w:lineRule="auto"/>
        <w:rPr>
          <w:sz w:val="20"/>
          <w:szCs w:val="20"/>
        </w:rPr>
      </w:pPr>
    </w:p>
    <w:p w14:paraId="5A87B09B" w14:textId="77777777" w:rsidR="001650D7" w:rsidRDefault="001650D7" w:rsidP="001650D7">
      <w:pPr>
        <w:spacing w:after="0" w:line="240" w:lineRule="auto"/>
        <w:rPr>
          <w:sz w:val="20"/>
          <w:szCs w:val="20"/>
        </w:rPr>
      </w:pPr>
    </w:p>
    <w:p w14:paraId="643470C0" w14:textId="77777777" w:rsidR="001650D7" w:rsidRDefault="001650D7" w:rsidP="001650D7">
      <w:pPr>
        <w:spacing w:after="0" w:line="240" w:lineRule="auto"/>
        <w:rPr>
          <w:sz w:val="20"/>
          <w:szCs w:val="20"/>
        </w:rPr>
      </w:pPr>
    </w:p>
    <w:p w14:paraId="1D084AE3" w14:textId="77777777" w:rsidR="001650D7" w:rsidRDefault="001650D7" w:rsidP="001650D7">
      <w:pPr>
        <w:spacing w:after="0" w:line="240" w:lineRule="auto"/>
        <w:rPr>
          <w:sz w:val="20"/>
          <w:szCs w:val="20"/>
        </w:rPr>
      </w:pPr>
    </w:p>
    <w:p w14:paraId="0F684B53" w14:textId="2ECC6886" w:rsidR="001650D7" w:rsidRDefault="001650D7" w:rsidP="001650D7">
      <w:pPr>
        <w:spacing w:after="0" w:line="240" w:lineRule="auto"/>
        <w:ind w:left="2832"/>
        <w:rPr>
          <w:b/>
          <w:bCs/>
          <w:i/>
          <w:iCs/>
          <w:color w:val="0070C0"/>
          <w:sz w:val="20"/>
          <w:szCs w:val="20"/>
        </w:rPr>
      </w:pPr>
      <w:hyperlink r:id="rId10" w:history="1">
        <w:r w:rsidRPr="0010232B">
          <w:rPr>
            <w:rStyle w:val="Collegamentoipertestuale"/>
            <w:b/>
            <w:bCs/>
            <w:i/>
            <w:iCs/>
            <w:sz w:val="20"/>
            <w:szCs w:val="20"/>
          </w:rPr>
          <w:t>www.aviation-industry-news.com</w:t>
        </w:r>
      </w:hyperlink>
    </w:p>
    <w:p w14:paraId="6D479CA0" w14:textId="77777777" w:rsidR="00F72E77" w:rsidRDefault="00F72E77" w:rsidP="001650D7">
      <w:pPr>
        <w:spacing w:after="0" w:line="240" w:lineRule="auto"/>
        <w:rPr>
          <w:b/>
          <w:bCs/>
          <w:i/>
          <w:iCs/>
          <w:color w:val="0070C0"/>
          <w:sz w:val="16"/>
          <w:szCs w:val="16"/>
        </w:rPr>
      </w:pPr>
    </w:p>
    <w:p w14:paraId="7F976979" w14:textId="77777777" w:rsidR="00F72E77" w:rsidRDefault="00F72E77" w:rsidP="001650D7">
      <w:pPr>
        <w:spacing w:after="0" w:line="240" w:lineRule="auto"/>
        <w:rPr>
          <w:b/>
          <w:bCs/>
          <w:i/>
          <w:iCs/>
          <w:color w:val="0070C0"/>
          <w:sz w:val="16"/>
          <w:szCs w:val="16"/>
        </w:rPr>
      </w:pPr>
    </w:p>
    <w:p w14:paraId="602B54C8" w14:textId="77777777" w:rsidR="00F72E77" w:rsidRDefault="00F72E77" w:rsidP="001650D7">
      <w:pPr>
        <w:spacing w:after="0" w:line="240" w:lineRule="auto"/>
        <w:rPr>
          <w:b/>
          <w:bCs/>
          <w:i/>
          <w:iCs/>
          <w:color w:val="0070C0"/>
          <w:sz w:val="16"/>
          <w:szCs w:val="16"/>
        </w:rPr>
      </w:pPr>
    </w:p>
    <w:p w14:paraId="76B1665D" w14:textId="6EB63C11" w:rsidR="001650D7" w:rsidRPr="001650D7" w:rsidRDefault="00F72E77" w:rsidP="001650D7">
      <w:pPr>
        <w:spacing w:after="0" w:line="240" w:lineRule="auto"/>
        <w:rPr>
          <w:b/>
          <w:bCs/>
          <w:i/>
          <w:iCs/>
          <w:color w:val="0070C0"/>
          <w:sz w:val="16"/>
          <w:szCs w:val="16"/>
        </w:rPr>
      </w:pPr>
      <w:r>
        <w:rPr>
          <w:b/>
          <w:bCs/>
          <w:i/>
          <w:iCs/>
          <w:color w:val="0070C0"/>
          <w:sz w:val="16"/>
          <w:szCs w:val="16"/>
        </w:rPr>
        <w:t>10 Luglio 2022</w:t>
      </w:r>
    </w:p>
    <w:sectPr w:rsidR="001650D7" w:rsidRPr="001650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5E8"/>
    <w:multiLevelType w:val="hybridMultilevel"/>
    <w:tmpl w:val="EC003BA0"/>
    <w:lvl w:ilvl="0" w:tplc="730E7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F52DF"/>
    <w:multiLevelType w:val="hybridMultilevel"/>
    <w:tmpl w:val="774E8B6C"/>
    <w:lvl w:ilvl="0" w:tplc="9F680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155671">
    <w:abstractNumId w:val="1"/>
  </w:num>
  <w:num w:numId="2" w16cid:durableId="53026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0C"/>
    <w:rsid w:val="000071FD"/>
    <w:rsid w:val="00007644"/>
    <w:rsid w:val="00030518"/>
    <w:rsid w:val="00033AE8"/>
    <w:rsid w:val="00036B38"/>
    <w:rsid w:val="00046A05"/>
    <w:rsid w:val="00062A1B"/>
    <w:rsid w:val="00065032"/>
    <w:rsid w:val="000A1A47"/>
    <w:rsid w:val="000B4ED5"/>
    <w:rsid w:val="000D24E8"/>
    <w:rsid w:val="000E61A3"/>
    <w:rsid w:val="000F73FF"/>
    <w:rsid w:val="00147B04"/>
    <w:rsid w:val="001609E9"/>
    <w:rsid w:val="001650D7"/>
    <w:rsid w:val="00176F20"/>
    <w:rsid w:val="0018367F"/>
    <w:rsid w:val="001B1B4B"/>
    <w:rsid w:val="001B3CC3"/>
    <w:rsid w:val="001C741A"/>
    <w:rsid w:val="001E24C3"/>
    <w:rsid w:val="001E5ED3"/>
    <w:rsid w:val="00201AD0"/>
    <w:rsid w:val="00205706"/>
    <w:rsid w:val="0022111D"/>
    <w:rsid w:val="00232A60"/>
    <w:rsid w:val="002371E7"/>
    <w:rsid w:val="00244F88"/>
    <w:rsid w:val="00254075"/>
    <w:rsid w:val="002619E4"/>
    <w:rsid w:val="00285768"/>
    <w:rsid w:val="00290262"/>
    <w:rsid w:val="002A053F"/>
    <w:rsid w:val="002A4469"/>
    <w:rsid w:val="002A4862"/>
    <w:rsid w:val="002B78E5"/>
    <w:rsid w:val="002B7BE3"/>
    <w:rsid w:val="002C32A5"/>
    <w:rsid w:val="002C43A3"/>
    <w:rsid w:val="002C6A73"/>
    <w:rsid w:val="002D6C56"/>
    <w:rsid w:val="002E0A5A"/>
    <w:rsid w:val="002E2DA5"/>
    <w:rsid w:val="002F004F"/>
    <w:rsid w:val="00312637"/>
    <w:rsid w:val="00321C97"/>
    <w:rsid w:val="003235EE"/>
    <w:rsid w:val="00334C30"/>
    <w:rsid w:val="00335284"/>
    <w:rsid w:val="003446BD"/>
    <w:rsid w:val="00352D10"/>
    <w:rsid w:val="003A5F61"/>
    <w:rsid w:val="003C07E6"/>
    <w:rsid w:val="003C1F03"/>
    <w:rsid w:val="003E0D6A"/>
    <w:rsid w:val="003F3CC0"/>
    <w:rsid w:val="003F6005"/>
    <w:rsid w:val="00414C3F"/>
    <w:rsid w:val="00415F24"/>
    <w:rsid w:val="00427449"/>
    <w:rsid w:val="004517AB"/>
    <w:rsid w:val="00456597"/>
    <w:rsid w:val="0046739C"/>
    <w:rsid w:val="00467701"/>
    <w:rsid w:val="004925E5"/>
    <w:rsid w:val="00492EE7"/>
    <w:rsid w:val="004C1B17"/>
    <w:rsid w:val="004D1ECD"/>
    <w:rsid w:val="004F14C6"/>
    <w:rsid w:val="004F1EFA"/>
    <w:rsid w:val="004F7D82"/>
    <w:rsid w:val="005056CD"/>
    <w:rsid w:val="00512D07"/>
    <w:rsid w:val="005260E1"/>
    <w:rsid w:val="005312FA"/>
    <w:rsid w:val="00537E8B"/>
    <w:rsid w:val="005410EE"/>
    <w:rsid w:val="0054184A"/>
    <w:rsid w:val="00543E0B"/>
    <w:rsid w:val="005638DE"/>
    <w:rsid w:val="00570879"/>
    <w:rsid w:val="005755EB"/>
    <w:rsid w:val="0059343B"/>
    <w:rsid w:val="00595DAF"/>
    <w:rsid w:val="005A56EF"/>
    <w:rsid w:val="005A5992"/>
    <w:rsid w:val="005B55BD"/>
    <w:rsid w:val="005B598F"/>
    <w:rsid w:val="005C009D"/>
    <w:rsid w:val="005E5EE6"/>
    <w:rsid w:val="005F677A"/>
    <w:rsid w:val="005F7C25"/>
    <w:rsid w:val="00607019"/>
    <w:rsid w:val="00615E76"/>
    <w:rsid w:val="00615F83"/>
    <w:rsid w:val="006161C7"/>
    <w:rsid w:val="006170DB"/>
    <w:rsid w:val="00636734"/>
    <w:rsid w:val="006408BB"/>
    <w:rsid w:val="00645977"/>
    <w:rsid w:val="00647E12"/>
    <w:rsid w:val="00653DAF"/>
    <w:rsid w:val="006718EF"/>
    <w:rsid w:val="0068140C"/>
    <w:rsid w:val="006A0813"/>
    <w:rsid w:val="006A2B56"/>
    <w:rsid w:val="006C55B1"/>
    <w:rsid w:val="006E2242"/>
    <w:rsid w:val="006E4D64"/>
    <w:rsid w:val="006F793D"/>
    <w:rsid w:val="0070747B"/>
    <w:rsid w:val="00712073"/>
    <w:rsid w:val="0071786B"/>
    <w:rsid w:val="00726C4F"/>
    <w:rsid w:val="00730AA8"/>
    <w:rsid w:val="00751B1D"/>
    <w:rsid w:val="0076026D"/>
    <w:rsid w:val="007628BC"/>
    <w:rsid w:val="0076456E"/>
    <w:rsid w:val="00766A0A"/>
    <w:rsid w:val="00773640"/>
    <w:rsid w:val="00775651"/>
    <w:rsid w:val="007A1949"/>
    <w:rsid w:val="007A35FB"/>
    <w:rsid w:val="007A43D6"/>
    <w:rsid w:val="007B6069"/>
    <w:rsid w:val="007E3D31"/>
    <w:rsid w:val="007F1105"/>
    <w:rsid w:val="007F2571"/>
    <w:rsid w:val="0084678C"/>
    <w:rsid w:val="00854063"/>
    <w:rsid w:val="00860B22"/>
    <w:rsid w:val="00867B75"/>
    <w:rsid w:val="008830B8"/>
    <w:rsid w:val="008969D1"/>
    <w:rsid w:val="008A222C"/>
    <w:rsid w:val="008A4EC7"/>
    <w:rsid w:val="008A5387"/>
    <w:rsid w:val="008E0146"/>
    <w:rsid w:val="008F2109"/>
    <w:rsid w:val="00904AFC"/>
    <w:rsid w:val="00922307"/>
    <w:rsid w:val="009511FE"/>
    <w:rsid w:val="00956A5F"/>
    <w:rsid w:val="00957BDE"/>
    <w:rsid w:val="009603D1"/>
    <w:rsid w:val="0096608D"/>
    <w:rsid w:val="00975CCA"/>
    <w:rsid w:val="00981D0B"/>
    <w:rsid w:val="009950DE"/>
    <w:rsid w:val="009B1A91"/>
    <w:rsid w:val="009C1B3D"/>
    <w:rsid w:val="009D474D"/>
    <w:rsid w:val="009D659A"/>
    <w:rsid w:val="009D6805"/>
    <w:rsid w:val="009E3131"/>
    <w:rsid w:val="009E5B8C"/>
    <w:rsid w:val="00A1271B"/>
    <w:rsid w:val="00A2218B"/>
    <w:rsid w:val="00A27E1B"/>
    <w:rsid w:val="00A35D34"/>
    <w:rsid w:val="00A64B1D"/>
    <w:rsid w:val="00A65253"/>
    <w:rsid w:val="00A77471"/>
    <w:rsid w:val="00A92AF5"/>
    <w:rsid w:val="00A95194"/>
    <w:rsid w:val="00AA733E"/>
    <w:rsid w:val="00AB422A"/>
    <w:rsid w:val="00AC2357"/>
    <w:rsid w:val="00AF2844"/>
    <w:rsid w:val="00AF2D39"/>
    <w:rsid w:val="00B00037"/>
    <w:rsid w:val="00B07723"/>
    <w:rsid w:val="00B14176"/>
    <w:rsid w:val="00B14B4A"/>
    <w:rsid w:val="00B22B26"/>
    <w:rsid w:val="00B26B67"/>
    <w:rsid w:val="00B3756A"/>
    <w:rsid w:val="00B57C29"/>
    <w:rsid w:val="00B723CD"/>
    <w:rsid w:val="00BB1B46"/>
    <w:rsid w:val="00BB5DF6"/>
    <w:rsid w:val="00BD7340"/>
    <w:rsid w:val="00BD7944"/>
    <w:rsid w:val="00BF6ADF"/>
    <w:rsid w:val="00C17CD1"/>
    <w:rsid w:val="00C3699F"/>
    <w:rsid w:val="00C43612"/>
    <w:rsid w:val="00C67A8E"/>
    <w:rsid w:val="00C71D0E"/>
    <w:rsid w:val="00C86200"/>
    <w:rsid w:val="00C94408"/>
    <w:rsid w:val="00C97697"/>
    <w:rsid w:val="00C97878"/>
    <w:rsid w:val="00CA5D76"/>
    <w:rsid w:val="00CB5C8A"/>
    <w:rsid w:val="00CE68B8"/>
    <w:rsid w:val="00CE6A3B"/>
    <w:rsid w:val="00D063C3"/>
    <w:rsid w:val="00D069E5"/>
    <w:rsid w:val="00D10943"/>
    <w:rsid w:val="00D22F90"/>
    <w:rsid w:val="00D32825"/>
    <w:rsid w:val="00D51548"/>
    <w:rsid w:val="00D52EB3"/>
    <w:rsid w:val="00D54328"/>
    <w:rsid w:val="00D55336"/>
    <w:rsid w:val="00D655E1"/>
    <w:rsid w:val="00D81B51"/>
    <w:rsid w:val="00D87FE8"/>
    <w:rsid w:val="00D90E05"/>
    <w:rsid w:val="00DC15E8"/>
    <w:rsid w:val="00DC5660"/>
    <w:rsid w:val="00DD77AA"/>
    <w:rsid w:val="00DE1042"/>
    <w:rsid w:val="00DE2560"/>
    <w:rsid w:val="00DE395F"/>
    <w:rsid w:val="00E044B9"/>
    <w:rsid w:val="00E2064B"/>
    <w:rsid w:val="00E23040"/>
    <w:rsid w:val="00E30708"/>
    <w:rsid w:val="00E35584"/>
    <w:rsid w:val="00E4075A"/>
    <w:rsid w:val="00E4407C"/>
    <w:rsid w:val="00E53207"/>
    <w:rsid w:val="00E660FD"/>
    <w:rsid w:val="00E84DE1"/>
    <w:rsid w:val="00EA3D59"/>
    <w:rsid w:val="00EA6A93"/>
    <w:rsid w:val="00EC0077"/>
    <w:rsid w:val="00ED279B"/>
    <w:rsid w:val="00F053D3"/>
    <w:rsid w:val="00F240E3"/>
    <w:rsid w:val="00F408CB"/>
    <w:rsid w:val="00F4530C"/>
    <w:rsid w:val="00F56336"/>
    <w:rsid w:val="00F56FFE"/>
    <w:rsid w:val="00F57303"/>
    <w:rsid w:val="00F72E77"/>
    <w:rsid w:val="00F83309"/>
    <w:rsid w:val="00F92C35"/>
    <w:rsid w:val="00F93B8F"/>
    <w:rsid w:val="00F96B06"/>
    <w:rsid w:val="00FA0262"/>
    <w:rsid w:val="00FA1C16"/>
    <w:rsid w:val="00FA7551"/>
    <w:rsid w:val="00FD0801"/>
    <w:rsid w:val="00FD4606"/>
    <w:rsid w:val="00FE7F22"/>
    <w:rsid w:val="00FF0EC6"/>
    <w:rsid w:val="00FF1CAD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E011"/>
  <w15:chartTrackingRefBased/>
  <w15:docId w15:val="{26321128-7B3C-4A56-A42A-D7403C94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11F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650D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aviation-industry-new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vestor.ryanair.com/wp-content/uploads/2022/04/Ryanair-Shareholder-Forum-Apr.-06-2022-Final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251</cp:revision>
  <dcterms:created xsi:type="dcterms:W3CDTF">2022-07-09T13:18:00Z</dcterms:created>
  <dcterms:modified xsi:type="dcterms:W3CDTF">2022-07-10T12:38:00Z</dcterms:modified>
</cp:coreProperties>
</file>