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CAB9" w14:textId="696E78C0" w:rsidR="00910323" w:rsidRDefault="00910323" w:rsidP="00910323">
      <w:pPr>
        <w:rPr>
          <w:b/>
          <w:bCs/>
          <w:color w:val="FF0000"/>
          <w:sz w:val="28"/>
          <w:szCs w:val="28"/>
        </w:rPr>
      </w:pPr>
      <w:r>
        <w:rPr>
          <w:b/>
          <w:bCs/>
          <w:noProof/>
          <w:color w:val="FF0000"/>
          <w:sz w:val="28"/>
          <w:szCs w:val="28"/>
        </w:rPr>
        <w:drawing>
          <wp:inline distT="0" distB="0" distL="0" distR="0" wp14:anchorId="4E1B3F15" wp14:editId="551E92E0">
            <wp:extent cx="1400400" cy="266400"/>
            <wp:effectExtent l="0" t="0" r="0" b="635"/>
            <wp:docPr id="36248606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86067" name="Immagine 362486067"/>
                    <pic:cNvPicPr/>
                  </pic:nvPicPr>
                  <pic:blipFill>
                    <a:blip r:embed="rId5">
                      <a:extLst>
                        <a:ext uri="{28A0092B-C50C-407E-A947-70E740481C1C}">
                          <a14:useLocalDpi xmlns:a14="http://schemas.microsoft.com/office/drawing/2010/main" val="0"/>
                        </a:ext>
                      </a:extLst>
                    </a:blip>
                    <a:stretch>
                      <a:fillRect/>
                    </a:stretch>
                  </pic:blipFill>
                  <pic:spPr>
                    <a:xfrm>
                      <a:off x="0" y="0"/>
                      <a:ext cx="1400400" cy="266400"/>
                    </a:xfrm>
                    <a:prstGeom prst="rect">
                      <a:avLst/>
                    </a:prstGeom>
                  </pic:spPr>
                </pic:pic>
              </a:graphicData>
            </a:graphic>
          </wp:inline>
        </w:drawing>
      </w:r>
    </w:p>
    <w:p w14:paraId="731D3B86" w14:textId="24D8E62D" w:rsidR="00486871" w:rsidRPr="00812954" w:rsidRDefault="00910323" w:rsidP="00910323">
      <w:pPr>
        <w:ind w:left="1416" w:firstLine="708"/>
        <w:rPr>
          <w:b/>
          <w:bCs/>
          <w:color w:val="FF0000"/>
          <w:sz w:val="28"/>
          <w:szCs w:val="28"/>
        </w:rPr>
      </w:pPr>
      <w:r>
        <w:rPr>
          <w:b/>
          <w:bCs/>
          <w:color w:val="FF0000"/>
          <w:sz w:val="28"/>
          <w:szCs w:val="28"/>
        </w:rPr>
        <w:t xml:space="preserve">    </w:t>
      </w:r>
      <w:r w:rsidR="00486871" w:rsidRPr="00812954">
        <w:rPr>
          <w:b/>
          <w:bCs/>
          <w:color w:val="FF0000"/>
          <w:sz w:val="28"/>
          <w:szCs w:val="28"/>
        </w:rPr>
        <w:t>I RISULTATI 2024 DEI GRUPPI EUROPEI</w:t>
      </w:r>
    </w:p>
    <w:p w14:paraId="56327174" w14:textId="77777777" w:rsidR="00486871" w:rsidRDefault="00486871"/>
    <w:p w14:paraId="196BE6F7" w14:textId="650310A1" w:rsidR="00486871" w:rsidRDefault="00486871">
      <w:r>
        <w:t xml:space="preserve">Con una nostra precedente newsletter </w:t>
      </w:r>
      <w:r w:rsidRPr="00486871">
        <w:rPr>
          <w:color w:val="FF0000"/>
          <w:sz w:val="16"/>
          <w:szCs w:val="16"/>
        </w:rPr>
        <w:t xml:space="preserve">(1) </w:t>
      </w:r>
      <w:r>
        <w:t xml:space="preserve">abbiamo commentato i risultati 2024 del Gruppo Lufthansa. Avendo ora a disposizione anche i dati del Gruppo IAG e </w:t>
      </w:r>
      <w:r w:rsidR="00E62F15">
        <w:t xml:space="preserve">alcuni dati </w:t>
      </w:r>
      <w:r>
        <w:t xml:space="preserve">del Gruppo AF/KL </w:t>
      </w:r>
      <w:r w:rsidR="00E62F15" w:rsidRPr="00E62F15">
        <w:rPr>
          <w:color w:val="FF0000"/>
          <w:sz w:val="16"/>
          <w:szCs w:val="16"/>
        </w:rPr>
        <w:t>(2)</w:t>
      </w:r>
      <w:r w:rsidR="00E62F15" w:rsidRPr="00E62F15">
        <w:rPr>
          <w:color w:val="FF0000"/>
        </w:rPr>
        <w:t xml:space="preserve"> </w:t>
      </w:r>
      <w:r>
        <w:t xml:space="preserve">siamo in grado di comparare l’andamento di questi 3 gruppi che da soli coprono oltre 10 compagnie aeree europee. </w:t>
      </w:r>
      <w:r w:rsidR="00E62F15">
        <w:t>Precisiamo</w:t>
      </w:r>
      <w:r>
        <w:t xml:space="preserve"> che queste tre formazioni non vanno confuse con le alleanze (Star Alliance, Skyteam, One World) che sono tutt’altra cosa.</w:t>
      </w:r>
    </w:p>
    <w:p w14:paraId="1785E066" w14:textId="6AF4C16A" w:rsidR="00486871" w:rsidRDefault="00486871">
      <w:r>
        <w:t>Innanzitutto una scheda dei tre:</w:t>
      </w:r>
    </w:p>
    <w:p w14:paraId="68B86800" w14:textId="71684A5F" w:rsidR="00486871" w:rsidRDefault="00486871">
      <w:r>
        <w:t>-</w:t>
      </w:r>
      <w:r w:rsidRPr="00E62F15">
        <w:rPr>
          <w:b/>
          <w:bCs/>
        </w:rPr>
        <w:t>Gruppo Lufthansa</w:t>
      </w:r>
      <w:r>
        <w:t xml:space="preserve"> comprende oltre alla Lufthansa, la Swiss International, la Brussels Airline, la Austrian, l’Eurowings, la Air Dolomiti nonché le compagnie regionali </w:t>
      </w:r>
      <w:r w:rsidRPr="00886A1A">
        <w:t>Lufthansa CityLine, Lufthansa City Airlines</w:t>
      </w:r>
      <w:r>
        <w:t>;</w:t>
      </w:r>
      <w:r w:rsidR="00D047B9">
        <w:t xml:space="preserve"> il gruppo LH nel suo complesso include anche la sezione “Logistics” e Maintenance (MRO)</w:t>
      </w:r>
      <w:r w:rsidR="00E62F15">
        <w:t>;</w:t>
      </w:r>
      <w:r w:rsidR="00D047B9">
        <w:t xml:space="preserve"> i dati che riportiamo</w:t>
      </w:r>
      <w:r w:rsidR="00E62F15">
        <w:t>, dovendo compararli con quelli degli altri gruppi</w:t>
      </w:r>
      <w:r w:rsidR="00302858">
        <w:t>,</w:t>
      </w:r>
      <w:r w:rsidR="00D047B9">
        <w:t xml:space="preserve"> si riferiscono al solo comparto “airline business”.</w:t>
      </w:r>
    </w:p>
    <w:p w14:paraId="2568A95F" w14:textId="78AA8366" w:rsidR="00486871" w:rsidRDefault="00486871">
      <w:r>
        <w:t>-</w:t>
      </w:r>
      <w:r w:rsidRPr="00E62F15">
        <w:rPr>
          <w:b/>
          <w:bCs/>
        </w:rPr>
        <w:t>Gruppo IAG</w:t>
      </w:r>
      <w:r>
        <w:t xml:space="preserve">, International Airlines Group, comprende la British Airways, l’Iberia, la Aer </w:t>
      </w:r>
      <w:proofErr w:type="gramStart"/>
      <w:r>
        <w:t>Lingus</w:t>
      </w:r>
      <w:r w:rsidR="00DA065C">
        <w:t>,</w:t>
      </w:r>
      <w:r>
        <w:t xml:space="preserve">  la</w:t>
      </w:r>
      <w:proofErr w:type="gramEnd"/>
      <w:r>
        <w:t xml:space="preserve"> Vueling</w:t>
      </w:r>
      <w:r w:rsidR="00DA065C">
        <w:t xml:space="preserve"> e la Level</w:t>
      </w:r>
      <w:r>
        <w:t>;</w:t>
      </w:r>
    </w:p>
    <w:p w14:paraId="05DCF059" w14:textId="065D9724" w:rsidR="00486871" w:rsidRDefault="00486871">
      <w:r>
        <w:t>-</w:t>
      </w:r>
      <w:r w:rsidRPr="00E62F15">
        <w:rPr>
          <w:b/>
          <w:bCs/>
        </w:rPr>
        <w:t>Gruppo AF/KL</w:t>
      </w:r>
      <w:r>
        <w:t xml:space="preserve"> comprende oltre alla compagnia francese e quella olandese anche la Transavia</w:t>
      </w:r>
      <w:r w:rsidR="00024019" w:rsidRPr="00024019">
        <w:t xml:space="preserve"> una compagnia aerea olandese che opera quale parte indipendente del gruppo</w:t>
      </w:r>
      <w:r w:rsidR="00024019">
        <w:t xml:space="preserve"> </w:t>
      </w:r>
      <w:r w:rsidR="00024019" w:rsidRPr="00024019">
        <w:t>ed effettua collegamenti a basso costo.</w:t>
      </w:r>
    </w:p>
    <w:p w14:paraId="1387C946" w14:textId="73278243" w:rsidR="00486871" w:rsidRDefault="00486871">
      <w:r>
        <w:t xml:space="preserve">Dal punto di vista del principale </w:t>
      </w:r>
      <w:r w:rsidR="00BB0959">
        <w:t>fondamentale dell’industria,</w:t>
      </w:r>
      <w:r>
        <w:t xml:space="preserve"> quello relativo al </w:t>
      </w:r>
      <w:r w:rsidRPr="00024019">
        <w:rPr>
          <w:u w:val="single"/>
        </w:rPr>
        <w:t>numero passeggeri</w:t>
      </w:r>
      <w:r>
        <w:t xml:space="preserve"> trasportati </w:t>
      </w:r>
      <w:r w:rsidR="00024019">
        <w:t xml:space="preserve">nel 2024 </w:t>
      </w:r>
      <w:r>
        <w:t>abbiamo la seguente situazione:</w:t>
      </w:r>
    </w:p>
    <w:p w14:paraId="4BE97E5C" w14:textId="635D2D74" w:rsidR="00486871" w:rsidRDefault="00486871" w:rsidP="00486871">
      <w:pPr>
        <w:spacing w:after="0"/>
      </w:pPr>
      <w:r>
        <w:t>Lufthansa: 131 milioni</w:t>
      </w:r>
      <w:r w:rsidR="00024019">
        <w:tab/>
        <w:t>(122.535</w:t>
      </w:r>
      <w:proofErr w:type="gramStart"/>
      <w:r w:rsidR="00024019">
        <w:t xml:space="preserve">)  </w:t>
      </w:r>
      <w:r w:rsidR="00AF1965" w:rsidRPr="00AF1965">
        <w:rPr>
          <w:color w:val="ED0000"/>
          <w:sz w:val="16"/>
          <w:szCs w:val="16"/>
        </w:rPr>
        <w:t>(</w:t>
      </w:r>
      <w:proofErr w:type="gramEnd"/>
      <w:r w:rsidR="00AF1965" w:rsidRPr="00AF1965">
        <w:rPr>
          <w:color w:val="ED0000"/>
          <w:sz w:val="16"/>
          <w:szCs w:val="16"/>
        </w:rPr>
        <w:t>3)</w:t>
      </w:r>
    </w:p>
    <w:p w14:paraId="513F81EE" w14:textId="24BCDA84" w:rsidR="00486871" w:rsidRDefault="00486871" w:rsidP="00486871">
      <w:pPr>
        <w:spacing w:after="0"/>
      </w:pPr>
      <w:r>
        <w:t>IAG</w:t>
      </w:r>
      <w:r>
        <w:tab/>
        <w:t xml:space="preserve"> </w:t>
      </w:r>
      <w:proofErr w:type="gramStart"/>
      <w:r>
        <w:t xml:space="preserve">  :</w:t>
      </w:r>
      <w:proofErr w:type="gramEnd"/>
      <w:r>
        <w:t xml:space="preserve"> 122 milioni</w:t>
      </w:r>
      <w:r w:rsidR="00024019">
        <w:tab/>
        <w:t xml:space="preserve">(115.559) </w:t>
      </w:r>
    </w:p>
    <w:p w14:paraId="1914E01B" w14:textId="5024F01F" w:rsidR="00486871" w:rsidRDefault="00486871" w:rsidP="00486871">
      <w:pPr>
        <w:spacing w:after="0"/>
      </w:pPr>
      <w:r>
        <w:t>AF/KL</w:t>
      </w:r>
      <w:r>
        <w:tab/>
        <w:t xml:space="preserve"> </w:t>
      </w:r>
      <w:proofErr w:type="gramStart"/>
      <w:r>
        <w:t xml:space="preserve">  :</w:t>
      </w:r>
      <w:proofErr w:type="gramEnd"/>
      <w:r>
        <w:t xml:space="preserve">   98 milioni</w:t>
      </w:r>
      <w:r w:rsidR="00DA065C">
        <w:t xml:space="preserve"> </w:t>
      </w:r>
      <w:r w:rsidR="00DA065C">
        <w:tab/>
        <w:t>(+4.7% rispetto al 2023)</w:t>
      </w:r>
    </w:p>
    <w:p w14:paraId="4D2E5053" w14:textId="77777777" w:rsidR="00AF1965" w:rsidRDefault="00AF1965" w:rsidP="00486871">
      <w:pPr>
        <w:spacing w:after="0"/>
      </w:pPr>
    </w:p>
    <w:p w14:paraId="581A1292" w14:textId="77777777" w:rsidR="00AF1965" w:rsidRDefault="00AF1965" w:rsidP="00AF1965">
      <w:r>
        <w:t>Con 122 milioni di passeggeri trasportati la IAG, International Airlines Group, è il secondo gruppo europeo alle spalle di Lufthansa che ha trasportato nel 2024 131 milioni di passeggeri. Segue AF/</w:t>
      </w:r>
      <w:proofErr w:type="gramStart"/>
      <w:r>
        <w:t>KL  che</w:t>
      </w:r>
      <w:proofErr w:type="gramEnd"/>
      <w:r>
        <w:t xml:space="preserve"> ha chiuso l’esercizio 2024 con 98 milioni di passeggeri.</w:t>
      </w:r>
    </w:p>
    <w:p w14:paraId="6B0D8599" w14:textId="6FA8C54E" w:rsidR="00BB0959" w:rsidRDefault="00BB0959" w:rsidP="00486871">
      <w:pPr>
        <w:spacing w:after="0"/>
      </w:pPr>
      <w:r>
        <w:t xml:space="preserve">Questi risultati sono stati ottenuti avendo a disposizione la seguente </w:t>
      </w:r>
      <w:r w:rsidRPr="00DA065C">
        <w:rPr>
          <w:u w:val="single"/>
        </w:rPr>
        <w:t>forza lavoro</w:t>
      </w:r>
      <w:r>
        <w:t>:</w:t>
      </w:r>
    </w:p>
    <w:p w14:paraId="01DEB220" w14:textId="77777777" w:rsidR="00D465CE" w:rsidRDefault="00D465CE" w:rsidP="00486871">
      <w:pPr>
        <w:spacing w:after="0"/>
      </w:pPr>
    </w:p>
    <w:p w14:paraId="35E8FA62" w14:textId="7E4B1140" w:rsidR="00D465CE" w:rsidRDefault="00D465CE" w:rsidP="00486871">
      <w:pPr>
        <w:spacing w:after="0"/>
      </w:pPr>
      <w:r>
        <w:t xml:space="preserve">IAG </w:t>
      </w:r>
      <w:r w:rsidR="00EB7922">
        <w:t xml:space="preserve">    </w:t>
      </w:r>
      <w:r w:rsidR="00910323">
        <w:t xml:space="preserve"> </w:t>
      </w:r>
      <w:r>
        <w:t>73.498</w:t>
      </w:r>
      <w:r>
        <w:tab/>
        <w:t>(69.762)</w:t>
      </w:r>
    </w:p>
    <w:p w14:paraId="64BC264E" w14:textId="30030106" w:rsidR="00D465CE" w:rsidRDefault="00D465CE" w:rsidP="00486871">
      <w:pPr>
        <w:spacing w:after="0"/>
      </w:pPr>
      <w:r>
        <w:t xml:space="preserve">LH   </w:t>
      </w:r>
      <w:r w:rsidR="00EB7922">
        <w:t xml:space="preserve">    </w:t>
      </w:r>
      <w:r w:rsidR="00910323">
        <w:t xml:space="preserve"> </w:t>
      </w:r>
      <w:r>
        <w:t>65.172</w:t>
      </w:r>
      <w:r>
        <w:tab/>
        <w:t>(60.924)</w:t>
      </w:r>
    </w:p>
    <w:p w14:paraId="31833577" w14:textId="58C10AE2" w:rsidR="000B5FB1" w:rsidRPr="00EB7922" w:rsidRDefault="000B5FB1" w:rsidP="00486871">
      <w:pPr>
        <w:spacing w:after="0"/>
      </w:pPr>
      <w:r>
        <w:t>AF/KL</w:t>
      </w:r>
      <w:r w:rsidR="00DA065C">
        <w:t xml:space="preserve"> </w:t>
      </w:r>
      <w:r w:rsidR="00EB7922">
        <w:t xml:space="preserve">  80.</w:t>
      </w:r>
      <w:r w:rsidR="00EB7922" w:rsidRPr="00EB7922">
        <w:t>730</w:t>
      </w:r>
      <w:proofErr w:type="gramStart"/>
      <w:r w:rsidRPr="00EB7922">
        <w:t xml:space="preserve">   </w:t>
      </w:r>
      <w:r w:rsidR="00EB7922" w:rsidRPr="00EB7922">
        <w:t>(</w:t>
      </w:r>
      <w:proofErr w:type="gramEnd"/>
      <w:r w:rsidR="00EB7922" w:rsidRPr="00EB7922">
        <w:t>77.806)</w:t>
      </w:r>
    </w:p>
    <w:p w14:paraId="7EBB553F" w14:textId="77777777" w:rsidR="00DA065C" w:rsidRDefault="00DA065C" w:rsidP="00486871">
      <w:pPr>
        <w:spacing w:after="0"/>
      </w:pPr>
    </w:p>
    <w:p w14:paraId="01020C0A" w14:textId="4140660B" w:rsidR="00DA065C" w:rsidRDefault="00DA065C" w:rsidP="00486871">
      <w:pPr>
        <w:spacing w:after="0"/>
      </w:pPr>
      <w:r>
        <w:t xml:space="preserve">Il </w:t>
      </w:r>
      <w:r w:rsidRPr="00DA065C">
        <w:rPr>
          <w:u w:val="single"/>
        </w:rPr>
        <w:t>Load factor</w:t>
      </w:r>
      <w:r>
        <w:t xml:space="preserve"> registrato:</w:t>
      </w:r>
    </w:p>
    <w:p w14:paraId="6E12C6B2" w14:textId="77777777" w:rsidR="00DA065C" w:rsidRDefault="00DA065C" w:rsidP="00486871">
      <w:pPr>
        <w:spacing w:after="0"/>
      </w:pPr>
    </w:p>
    <w:p w14:paraId="5BFA4BC6" w14:textId="7C13302E" w:rsidR="00DA065C" w:rsidRDefault="00DA065C" w:rsidP="00486871">
      <w:pPr>
        <w:spacing w:after="0"/>
      </w:pPr>
      <w:r>
        <w:t>AF/KL</w:t>
      </w:r>
      <w:r>
        <w:tab/>
      </w:r>
      <w:r>
        <w:tab/>
        <w:t>87.8</w:t>
      </w:r>
      <w:r>
        <w:tab/>
        <w:t>(+0.5%)</w:t>
      </w:r>
    </w:p>
    <w:p w14:paraId="4B971D2F" w14:textId="09EA5A4F" w:rsidR="00DA065C" w:rsidRDefault="00DA065C" w:rsidP="00486871">
      <w:pPr>
        <w:spacing w:after="0"/>
      </w:pPr>
      <w:r>
        <w:t>IAG</w:t>
      </w:r>
      <w:r>
        <w:tab/>
      </w:r>
      <w:r>
        <w:tab/>
        <w:t>86.5</w:t>
      </w:r>
      <w:r>
        <w:tab/>
        <w:t>(85.3)</w:t>
      </w:r>
    </w:p>
    <w:p w14:paraId="0DBAFBB1" w14:textId="2B20D700" w:rsidR="00DA065C" w:rsidRDefault="00DA065C" w:rsidP="00486871">
      <w:pPr>
        <w:spacing w:after="0"/>
      </w:pPr>
      <w:r>
        <w:t>LH</w:t>
      </w:r>
      <w:r>
        <w:tab/>
      </w:r>
      <w:r>
        <w:tab/>
        <w:t>83.1</w:t>
      </w:r>
      <w:r>
        <w:tab/>
        <w:t>(82.9)</w:t>
      </w:r>
    </w:p>
    <w:p w14:paraId="7942A43A" w14:textId="77777777" w:rsidR="00DA065C" w:rsidRDefault="00DA065C" w:rsidP="00486871">
      <w:pPr>
        <w:spacing w:after="0"/>
      </w:pPr>
    </w:p>
    <w:p w14:paraId="3E255A7D" w14:textId="77777777" w:rsidR="000B5FB1" w:rsidRDefault="000B5FB1" w:rsidP="00486871">
      <w:pPr>
        <w:spacing w:after="0"/>
      </w:pPr>
    </w:p>
    <w:p w14:paraId="2F8E586F" w14:textId="77777777" w:rsidR="00812954" w:rsidRDefault="00812954" w:rsidP="00486871">
      <w:pPr>
        <w:spacing w:after="0"/>
      </w:pPr>
    </w:p>
    <w:p w14:paraId="7BFF0C6A" w14:textId="77777777" w:rsidR="00812954" w:rsidRDefault="00812954" w:rsidP="00486871">
      <w:pPr>
        <w:spacing w:after="0"/>
      </w:pPr>
    </w:p>
    <w:p w14:paraId="26F25C46" w14:textId="777EF6C7" w:rsidR="000B5FB1" w:rsidRDefault="000B5FB1" w:rsidP="00486871">
      <w:pPr>
        <w:spacing w:after="0"/>
      </w:pPr>
      <w:r w:rsidRPr="00DA065C">
        <w:rPr>
          <w:u w:val="single"/>
        </w:rPr>
        <w:lastRenderedPageBreak/>
        <w:t>Revenue</w:t>
      </w:r>
      <w:r>
        <w:t xml:space="preserve"> generato (euro):</w:t>
      </w:r>
    </w:p>
    <w:p w14:paraId="2596D5E9" w14:textId="578E4DC7" w:rsidR="00D129CC" w:rsidRDefault="00D129CC" w:rsidP="00486871">
      <w:pPr>
        <w:spacing w:after="0"/>
      </w:pPr>
    </w:p>
    <w:p w14:paraId="6DB98B9C" w14:textId="4EC7B361" w:rsidR="000B5FB1" w:rsidRDefault="00D129CC" w:rsidP="00486871">
      <w:pPr>
        <w:spacing w:after="0"/>
      </w:pPr>
      <w:r>
        <w:t>-AF/KL</w:t>
      </w:r>
      <w:r>
        <w:tab/>
      </w:r>
      <w:r>
        <w:tab/>
        <w:t>31.459 milioni</w:t>
      </w:r>
      <w:r>
        <w:tab/>
      </w:r>
      <w:r>
        <w:tab/>
        <w:t>(30.019)</w:t>
      </w:r>
    </w:p>
    <w:p w14:paraId="3587DF66" w14:textId="2CE088A6" w:rsidR="000B5FB1" w:rsidRDefault="000B5FB1" w:rsidP="00486871">
      <w:pPr>
        <w:spacing w:after="0"/>
      </w:pPr>
      <w:r>
        <w:t>-Lufthansa</w:t>
      </w:r>
      <w:r>
        <w:tab/>
      </w:r>
      <w:r w:rsidR="00B1590A">
        <w:t>30.682</w:t>
      </w:r>
      <w:r>
        <w:t xml:space="preserve"> milioni</w:t>
      </w:r>
      <w:r>
        <w:tab/>
      </w:r>
      <w:r>
        <w:tab/>
        <w:t>(2</w:t>
      </w:r>
      <w:r w:rsidR="00B1590A">
        <w:t>9.643</w:t>
      </w:r>
      <w:r>
        <w:t>)</w:t>
      </w:r>
    </w:p>
    <w:p w14:paraId="4E032822" w14:textId="3E563BA2" w:rsidR="000B5FB1" w:rsidRDefault="000B5FB1" w:rsidP="00486871">
      <w:pPr>
        <w:spacing w:after="0"/>
      </w:pPr>
      <w:r>
        <w:t>-IAG</w:t>
      </w:r>
      <w:r>
        <w:tab/>
      </w:r>
      <w:r>
        <w:tab/>
      </w:r>
      <w:r w:rsidR="00B1590A">
        <w:t>32.100</w:t>
      </w:r>
      <w:r>
        <w:t xml:space="preserve"> milioni</w:t>
      </w:r>
      <w:r>
        <w:tab/>
      </w:r>
      <w:r>
        <w:tab/>
        <w:t>(2</w:t>
      </w:r>
      <w:r w:rsidR="00B1590A">
        <w:t>9</w:t>
      </w:r>
      <w:r>
        <w:t>.</w:t>
      </w:r>
      <w:r w:rsidR="00B1590A">
        <w:t>453</w:t>
      </w:r>
      <w:r>
        <w:t>)</w:t>
      </w:r>
    </w:p>
    <w:p w14:paraId="5AB01E0F" w14:textId="77777777" w:rsidR="00D129CC" w:rsidRDefault="00D129CC" w:rsidP="00486871">
      <w:pPr>
        <w:spacing w:after="0"/>
      </w:pPr>
    </w:p>
    <w:p w14:paraId="57FF96E7" w14:textId="028C3E91" w:rsidR="00DA065C" w:rsidRDefault="00812954" w:rsidP="00486871">
      <w:pPr>
        <w:spacing w:after="0"/>
      </w:pPr>
      <w:r>
        <w:t xml:space="preserve">Della IAG va subito evidenziata una particolarità, ovvero il fatto che il principale vettore del gruppo è fuori dell’area euro mentre Aer Lingus, Iberia e Vueling adottano la moneta unica europea. Questo particolare di non poco conto </w:t>
      </w:r>
      <w:proofErr w:type="gramStart"/>
      <w:r>
        <w:t>impone  una</w:t>
      </w:r>
      <w:proofErr w:type="gramEnd"/>
      <w:r>
        <w:t xml:space="preserve"> attenta analisi delle tabelle finanziarie.</w:t>
      </w:r>
    </w:p>
    <w:p w14:paraId="3B575B52" w14:textId="77777777" w:rsidR="00DA065C" w:rsidRDefault="00DA065C" w:rsidP="00486871">
      <w:pPr>
        <w:spacing w:after="0"/>
      </w:pPr>
    </w:p>
    <w:p w14:paraId="4B04FC8D" w14:textId="034CFB75" w:rsidR="00D129CC" w:rsidRPr="00DA065C" w:rsidRDefault="00D129CC" w:rsidP="00486871">
      <w:pPr>
        <w:spacing w:after="0"/>
        <w:rPr>
          <w:u w:val="single"/>
        </w:rPr>
      </w:pPr>
      <w:r w:rsidRPr="00DA065C">
        <w:rPr>
          <w:u w:val="single"/>
        </w:rPr>
        <w:t>Net Income (after tax):</w:t>
      </w:r>
    </w:p>
    <w:p w14:paraId="2E3AB6A2" w14:textId="77777777" w:rsidR="00D129CC" w:rsidRDefault="00D129CC" w:rsidP="00486871">
      <w:pPr>
        <w:spacing w:after="0"/>
      </w:pPr>
    </w:p>
    <w:p w14:paraId="64E9EB5D" w14:textId="0F30216E" w:rsidR="00D129CC" w:rsidRDefault="00D129CC" w:rsidP="00486871">
      <w:pPr>
        <w:spacing w:after="0"/>
      </w:pPr>
      <w:r>
        <w:t>-AF/KL</w:t>
      </w:r>
      <w:r>
        <w:tab/>
      </w:r>
      <w:r>
        <w:tab/>
        <w:t>508 milioni</w:t>
      </w:r>
      <w:r>
        <w:tab/>
      </w:r>
      <w:proofErr w:type="gramStart"/>
      <w:r w:rsidR="00AF1965">
        <w:t xml:space="preserve">   </w:t>
      </w:r>
      <w:r>
        <w:t>(</w:t>
      </w:r>
      <w:proofErr w:type="gramEnd"/>
      <w:r>
        <w:t>983)</w:t>
      </w:r>
    </w:p>
    <w:p w14:paraId="03A87668" w14:textId="10CB39C4" w:rsidR="00B1590A" w:rsidRDefault="00B1590A" w:rsidP="00486871">
      <w:pPr>
        <w:spacing w:after="0"/>
      </w:pPr>
      <w:r>
        <w:t>-IAG</w:t>
      </w:r>
      <w:r>
        <w:tab/>
      </w:r>
      <w:r>
        <w:tab/>
        <w:t xml:space="preserve">2.802 milioni   </w:t>
      </w:r>
      <w:proofErr w:type="gramStart"/>
      <w:r>
        <w:t xml:space="preserve">   (</w:t>
      </w:r>
      <w:proofErr w:type="gramEnd"/>
      <w:r>
        <w:t>2.655)</w:t>
      </w:r>
    </w:p>
    <w:p w14:paraId="7597B3EC" w14:textId="51A19F3F" w:rsidR="00D047B9" w:rsidRDefault="00D047B9" w:rsidP="00486871">
      <w:pPr>
        <w:spacing w:after="0"/>
      </w:pPr>
      <w:r>
        <w:t>Lufthansa</w:t>
      </w:r>
      <w:r>
        <w:tab/>
        <w:t>1.693 milioni</w:t>
      </w:r>
      <w:r>
        <w:tab/>
        <w:t xml:space="preserve"> (1.689)</w:t>
      </w:r>
      <w:proofErr w:type="gramStart"/>
      <w:r>
        <w:t xml:space="preserve">   </w:t>
      </w:r>
      <w:r w:rsidR="00AF1965" w:rsidRPr="00AF1965">
        <w:rPr>
          <w:color w:val="ED0000"/>
          <w:sz w:val="16"/>
          <w:szCs w:val="16"/>
        </w:rPr>
        <w:t>(</w:t>
      </w:r>
      <w:proofErr w:type="gramEnd"/>
      <w:r w:rsidR="00AF1965" w:rsidRPr="00AF1965">
        <w:rPr>
          <w:color w:val="ED0000"/>
          <w:sz w:val="16"/>
          <w:szCs w:val="16"/>
        </w:rPr>
        <w:t>4)</w:t>
      </w:r>
    </w:p>
    <w:p w14:paraId="5438193E" w14:textId="77777777" w:rsidR="00D047B9" w:rsidRDefault="00D047B9" w:rsidP="00486871">
      <w:pPr>
        <w:spacing w:after="0"/>
      </w:pPr>
    </w:p>
    <w:p w14:paraId="6F403C76" w14:textId="0037A9D0" w:rsidR="00D047B9" w:rsidRDefault="00D047B9" w:rsidP="00486871">
      <w:pPr>
        <w:spacing w:after="0"/>
      </w:pPr>
      <w:r>
        <w:t xml:space="preserve">Flotta </w:t>
      </w:r>
      <w:r w:rsidRPr="00A779E4">
        <w:rPr>
          <w:i/>
          <w:iCs/>
          <w:sz w:val="20"/>
          <w:szCs w:val="20"/>
        </w:rPr>
        <w:t>(dettagliata nei quadri allegati)</w:t>
      </w:r>
      <w:r>
        <w:t>:</w:t>
      </w:r>
    </w:p>
    <w:p w14:paraId="2AB3E066" w14:textId="77777777" w:rsidR="00D047B9" w:rsidRDefault="00D047B9" w:rsidP="00486871">
      <w:pPr>
        <w:spacing w:after="0"/>
      </w:pPr>
    </w:p>
    <w:p w14:paraId="14846313" w14:textId="7A00C929" w:rsidR="00D047B9" w:rsidRDefault="00D047B9" w:rsidP="00486871">
      <w:pPr>
        <w:spacing w:after="0"/>
      </w:pPr>
      <w:proofErr w:type="gramStart"/>
      <w:r>
        <w:t>Lufthansa :</w:t>
      </w:r>
      <w:proofErr w:type="gramEnd"/>
      <w:r>
        <w:t xml:space="preserve"> </w:t>
      </w:r>
      <w:r>
        <w:tab/>
        <w:t xml:space="preserve">735 aerei </w:t>
      </w:r>
    </w:p>
    <w:p w14:paraId="4B86A34D" w14:textId="4576CF70" w:rsidR="00D047B9" w:rsidRDefault="00D047B9" w:rsidP="00486871">
      <w:pPr>
        <w:spacing w:after="0"/>
      </w:pPr>
      <w:r>
        <w:t>IAG:</w:t>
      </w:r>
      <w:r>
        <w:tab/>
      </w:r>
      <w:r>
        <w:tab/>
        <w:t>601 aerei</w:t>
      </w:r>
    </w:p>
    <w:p w14:paraId="67B22913" w14:textId="2F59E62C" w:rsidR="00E62F15" w:rsidRDefault="00E62F15" w:rsidP="00486871">
      <w:pPr>
        <w:spacing w:after="0"/>
      </w:pPr>
      <w:r>
        <w:t>AF/KL:</w:t>
      </w:r>
      <w:r>
        <w:tab/>
      </w:r>
      <w:r>
        <w:tab/>
        <w:t>551 aerei</w:t>
      </w:r>
    </w:p>
    <w:p w14:paraId="3915FC5A" w14:textId="77777777" w:rsidR="00EB7922" w:rsidRDefault="00EB7922" w:rsidP="00486871">
      <w:pPr>
        <w:spacing w:after="0"/>
      </w:pPr>
    </w:p>
    <w:p w14:paraId="7082D9EF" w14:textId="4FB98CA8" w:rsidR="00EB7922" w:rsidRPr="00A779E4" w:rsidRDefault="00EB7922" w:rsidP="00EB7922">
      <w:r>
        <w:t>Merita un commento a parte quanto si può leggere in una nota contenuta nel rapporto congiunto emesso da KL e AF c</w:t>
      </w:r>
      <w:r w:rsidR="00AF1965">
        <w:t>irca il risultato del</w:t>
      </w:r>
      <w:r>
        <w:t xml:space="preserve"> margine operativo fatto registrare da Air France </w:t>
      </w:r>
      <w:r w:rsidR="00AF1965">
        <w:t xml:space="preserve">il quale </w:t>
      </w:r>
      <w:r w:rsidR="00DF2CA8">
        <w:t>-</w:t>
      </w:r>
      <w:r w:rsidR="00AF1965">
        <w:t>viene precisato</w:t>
      </w:r>
      <w:proofErr w:type="gramStart"/>
      <w:r w:rsidR="00DF2CA8">
        <w:t>-</w:t>
      </w:r>
      <w:r w:rsidR="00AF1965">
        <w:t xml:space="preserve"> </w:t>
      </w:r>
      <w:r w:rsidR="00DF2CA8">
        <w:t xml:space="preserve"> è</w:t>
      </w:r>
      <w:proofErr w:type="gramEnd"/>
      <w:r w:rsidR="00DF2CA8">
        <w:t xml:space="preserve"> </w:t>
      </w:r>
      <w:r w:rsidR="006B6C2C">
        <w:t>stato interessato da u</w:t>
      </w:r>
      <w:r w:rsidR="00DF2CA8">
        <w:t>n</w:t>
      </w:r>
      <w:r w:rsidR="003E5615">
        <w:t xml:space="preserve"> “</w:t>
      </w:r>
      <w:r w:rsidR="003E5615" w:rsidRPr="006B6C2C">
        <w:rPr>
          <w:i/>
          <w:iCs/>
        </w:rPr>
        <w:t>calo limitato nonostante l'impatto negativo dei Giochi Olimpici (250 milioni di euro)”</w:t>
      </w:r>
      <w:r>
        <w:t xml:space="preserve"> </w:t>
      </w:r>
      <w:r w:rsidRPr="00EB7922">
        <w:rPr>
          <w:color w:val="FF0000"/>
          <w:sz w:val="16"/>
          <w:szCs w:val="16"/>
        </w:rPr>
        <w:t>(</w:t>
      </w:r>
      <w:r w:rsidR="00AF1965">
        <w:rPr>
          <w:color w:val="FF0000"/>
          <w:sz w:val="16"/>
          <w:szCs w:val="16"/>
        </w:rPr>
        <w:t>5</w:t>
      </w:r>
      <w:r w:rsidRPr="00EB7922">
        <w:rPr>
          <w:color w:val="FF0000"/>
          <w:sz w:val="16"/>
          <w:szCs w:val="16"/>
        </w:rPr>
        <w:t>)</w:t>
      </w:r>
      <w:r w:rsidR="00A779E4">
        <w:rPr>
          <w:color w:val="FF0000"/>
          <w:sz w:val="16"/>
          <w:szCs w:val="16"/>
        </w:rPr>
        <w:t xml:space="preserve">  </w:t>
      </w:r>
      <w:r w:rsidR="00A779E4">
        <w:t>Segno evidente questo che per i conti di AF i giochi olimpici di Parigi hanno significato più danni che benefici.</w:t>
      </w:r>
    </w:p>
    <w:p w14:paraId="77526134" w14:textId="3953C71E" w:rsidR="00812954" w:rsidRDefault="004C3434" w:rsidP="00EB7922">
      <w:r w:rsidRPr="004C3434">
        <w:t>In aggiunta alle compagnie da noi descritte</w:t>
      </w:r>
      <w:r>
        <w:t xml:space="preserve"> vogliamo anche mostrare i risultati di tre compagnie legacy che meritano di venir citate.</w:t>
      </w:r>
    </w:p>
    <w:p w14:paraId="567AFAE3" w14:textId="311E598F" w:rsidR="004C3434" w:rsidRDefault="004C3434" w:rsidP="00AD00EA">
      <w:pPr>
        <w:spacing w:after="0"/>
      </w:pPr>
      <w:r>
        <w:t xml:space="preserve">La scandinava </w:t>
      </w:r>
      <w:r w:rsidRPr="00AE6B7C">
        <w:rPr>
          <w:b/>
          <w:bCs/>
        </w:rPr>
        <w:t>SAS</w:t>
      </w:r>
      <w:r>
        <w:t xml:space="preserve"> </w:t>
      </w:r>
      <w:r w:rsidRPr="004C3434">
        <w:rPr>
          <w:color w:val="ED0000"/>
          <w:sz w:val="16"/>
          <w:szCs w:val="16"/>
        </w:rPr>
        <w:t>(6)</w:t>
      </w:r>
      <w:r w:rsidRPr="004C3434">
        <w:rPr>
          <w:color w:val="ED0000"/>
        </w:rPr>
        <w:t xml:space="preserve"> </w:t>
      </w:r>
      <w:r>
        <w:t xml:space="preserve">ha riportato un Net Income di 1.579 milioni di SEK pari a 145 milioni di euro; la compagnia ha trasportato 25.190.000 passeggeri ed ha </w:t>
      </w:r>
      <w:proofErr w:type="gramStart"/>
      <w:r>
        <w:t>una  forza</w:t>
      </w:r>
      <w:proofErr w:type="gramEnd"/>
      <w:r>
        <w:t xml:space="preserve"> lavoro di 8.591 unità; la flotta consta di 133 aerei.</w:t>
      </w:r>
      <w:r w:rsidR="00AD00EA">
        <w:t xml:space="preserve"> </w:t>
      </w:r>
    </w:p>
    <w:p w14:paraId="5351928A" w14:textId="721CD786" w:rsidR="00AD00EA" w:rsidRDefault="00AD00EA" w:rsidP="00AD00EA">
      <w:pPr>
        <w:spacing w:after="0"/>
      </w:pPr>
      <w:r>
        <w:t xml:space="preserve">Della </w:t>
      </w:r>
      <w:r w:rsidRPr="00AE6B7C">
        <w:rPr>
          <w:b/>
          <w:bCs/>
        </w:rPr>
        <w:t>TAP Air Portugal</w:t>
      </w:r>
      <w:r>
        <w:t xml:space="preserve"> altra grande assente dai gruppi che sta attirando le attenzioni sia di Skyteam come di One </w:t>
      </w:r>
      <w:r w:rsidR="00AE6B7C">
        <w:t>W</w:t>
      </w:r>
      <w:r>
        <w:t>orld sappiamo per il momento che ha chiuso il 2024 trasportando 16.1 milioni di passeggeri</w:t>
      </w:r>
      <w:r w:rsidR="00AE6B7C">
        <w:t xml:space="preserve"> (+1,6% vs 2023)</w:t>
      </w:r>
      <w:r>
        <w:t xml:space="preserve">, ma ancora non stati diffusi i dati finanziari che </w:t>
      </w:r>
      <w:r w:rsidR="00E24C49">
        <w:t xml:space="preserve">dovrebbero </w:t>
      </w:r>
      <w:r>
        <w:t>comunque essere positivi.</w:t>
      </w:r>
    </w:p>
    <w:p w14:paraId="26BBACFD" w14:textId="58FFE484" w:rsidR="0082217D" w:rsidRDefault="0082217D" w:rsidP="00AD00EA">
      <w:pPr>
        <w:spacing w:after="0"/>
      </w:pPr>
      <w:r>
        <w:t xml:space="preserve">Circa </w:t>
      </w:r>
      <w:r w:rsidRPr="0082217D">
        <w:rPr>
          <w:b/>
          <w:bCs/>
        </w:rPr>
        <w:t>ITA Airways</w:t>
      </w:r>
      <w:r>
        <w:t xml:space="preserve"> nulla è ancora trapelato tranne notizie </w:t>
      </w:r>
      <w:r w:rsidR="00DF2CA8">
        <w:t>sul</w:t>
      </w:r>
      <w:r>
        <w:t xml:space="preserve"> numero passeggeri trasportati </w:t>
      </w:r>
      <w:r w:rsidR="00DF2CA8">
        <w:t>che dovrebbe essersi attestato</w:t>
      </w:r>
      <w:r>
        <w:t xml:space="preserve"> intorno ai 18 milioni (</w:t>
      </w:r>
      <w:proofErr w:type="gramStart"/>
      <w:r>
        <w:t>15.1  nel</w:t>
      </w:r>
      <w:proofErr w:type="gramEnd"/>
      <w:r>
        <w:t xml:space="preserve"> 2023), la flotta composta da 99 aerei e una forza lavoro di 4.956 dipendenti.</w:t>
      </w:r>
    </w:p>
    <w:p w14:paraId="2ACCACF0" w14:textId="77777777" w:rsidR="004D1F2E" w:rsidRDefault="004D1F2E" w:rsidP="00AD00EA">
      <w:pPr>
        <w:spacing w:after="0"/>
      </w:pPr>
    </w:p>
    <w:p w14:paraId="43A4610B" w14:textId="6F5E5124" w:rsidR="004D1F2E" w:rsidRDefault="004D1F2E" w:rsidP="00AD00EA">
      <w:pPr>
        <w:spacing w:after="0"/>
      </w:pPr>
      <w:r>
        <w:t xml:space="preserve">Da questa carrellata che ha coperto il continente </w:t>
      </w:r>
      <w:proofErr w:type="gramStart"/>
      <w:r>
        <w:t>europeo  sembra</w:t>
      </w:r>
      <w:proofErr w:type="gramEnd"/>
      <w:r>
        <w:t xml:space="preserve"> potersi  evincere che il trasporto aereo commerciale attraversa una fase di consolidamento ed ha definitivamente lasciato alle spalle i 24 mesi neri, 2020-2021, dele periodo pandemico.</w:t>
      </w:r>
    </w:p>
    <w:p w14:paraId="6C08362F" w14:textId="77777777" w:rsidR="00AD00EA" w:rsidRPr="004C3434" w:rsidRDefault="00AD00EA" w:rsidP="00AD00EA">
      <w:pPr>
        <w:spacing w:after="0"/>
      </w:pPr>
    </w:p>
    <w:p w14:paraId="22CC9A52" w14:textId="77777777" w:rsidR="004C3434" w:rsidRDefault="004C3434" w:rsidP="00EB7922">
      <w:pPr>
        <w:rPr>
          <w:color w:val="FF0000"/>
          <w:sz w:val="16"/>
          <w:szCs w:val="16"/>
        </w:rPr>
      </w:pPr>
    </w:p>
    <w:p w14:paraId="676A59B5" w14:textId="76F0C295" w:rsidR="00812954" w:rsidRDefault="00812954" w:rsidP="0018684E">
      <w:pPr>
        <w:jc w:val="center"/>
      </w:pPr>
      <w:r w:rsidRPr="00812954">
        <w:rPr>
          <w:noProof/>
          <w:bdr w:val="single" w:sz="18" w:space="0" w:color="auto"/>
        </w:rPr>
        <w:lastRenderedPageBreak/>
        <w:drawing>
          <wp:inline distT="0" distB="0" distL="0" distR="0" wp14:anchorId="0D65C0FF" wp14:editId="7CFA040A">
            <wp:extent cx="3204000" cy="1976400"/>
            <wp:effectExtent l="0" t="0" r="0" b="5080"/>
            <wp:docPr id="205793537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35370" name="Immagine 2057935370"/>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04000" cy="1976400"/>
                    </a:xfrm>
                    <a:prstGeom prst="rect">
                      <a:avLst/>
                    </a:prstGeom>
                  </pic:spPr>
                </pic:pic>
              </a:graphicData>
            </a:graphic>
          </wp:inline>
        </w:drawing>
      </w:r>
    </w:p>
    <w:p w14:paraId="1A8B504F" w14:textId="77777777" w:rsidR="0018684E" w:rsidRPr="0018684E" w:rsidRDefault="0018684E" w:rsidP="0018684E">
      <w:pPr>
        <w:jc w:val="center"/>
        <w:rPr>
          <w:i/>
          <w:iCs/>
          <w:sz w:val="18"/>
          <w:szCs w:val="18"/>
        </w:rPr>
      </w:pPr>
      <w:r w:rsidRPr="0018684E">
        <w:rPr>
          <w:i/>
          <w:iCs/>
          <w:sz w:val="18"/>
          <w:szCs w:val="18"/>
        </w:rPr>
        <w:t>La flotta del Gruppo Lufthansa al 31/12/2024</w:t>
      </w:r>
    </w:p>
    <w:p w14:paraId="35E1165D" w14:textId="77777777" w:rsidR="0018684E" w:rsidRDefault="0018684E" w:rsidP="0018684E">
      <w:pPr>
        <w:jc w:val="center"/>
      </w:pPr>
    </w:p>
    <w:p w14:paraId="50D3CC23" w14:textId="26857045" w:rsidR="0018684E" w:rsidRDefault="0018684E" w:rsidP="0018684E">
      <w:pPr>
        <w:jc w:val="center"/>
      </w:pPr>
      <w:r w:rsidRPr="0018684E">
        <w:rPr>
          <w:noProof/>
          <w:bdr w:val="single" w:sz="12" w:space="0" w:color="auto"/>
        </w:rPr>
        <w:drawing>
          <wp:inline distT="0" distB="0" distL="0" distR="0" wp14:anchorId="6830D870" wp14:editId="73B4AD72">
            <wp:extent cx="3574800" cy="2422800"/>
            <wp:effectExtent l="0" t="0" r="6985" b="0"/>
            <wp:docPr id="13597960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79607" name="Immagine 135979607"/>
                    <pic:cNvPicPr/>
                  </pic:nvPicPr>
                  <pic:blipFill>
                    <a:blip r:embed="rId7">
                      <a:extLst>
                        <a:ext uri="{28A0092B-C50C-407E-A947-70E740481C1C}">
                          <a14:useLocalDpi xmlns:a14="http://schemas.microsoft.com/office/drawing/2010/main" val="0"/>
                        </a:ext>
                      </a:extLst>
                    </a:blip>
                    <a:stretch>
                      <a:fillRect/>
                    </a:stretch>
                  </pic:blipFill>
                  <pic:spPr>
                    <a:xfrm>
                      <a:off x="0" y="0"/>
                      <a:ext cx="3574800" cy="2422800"/>
                    </a:xfrm>
                    <a:prstGeom prst="rect">
                      <a:avLst/>
                    </a:prstGeom>
                  </pic:spPr>
                </pic:pic>
              </a:graphicData>
            </a:graphic>
          </wp:inline>
        </w:drawing>
      </w:r>
    </w:p>
    <w:p w14:paraId="7D6F0E07" w14:textId="1BBB56B4" w:rsidR="0018684E" w:rsidRPr="0018684E" w:rsidRDefault="0018684E" w:rsidP="0018684E">
      <w:pPr>
        <w:jc w:val="center"/>
        <w:rPr>
          <w:i/>
          <w:iCs/>
          <w:sz w:val="18"/>
          <w:szCs w:val="18"/>
        </w:rPr>
      </w:pPr>
      <w:r w:rsidRPr="0018684E">
        <w:rPr>
          <w:i/>
          <w:iCs/>
          <w:sz w:val="18"/>
          <w:szCs w:val="18"/>
        </w:rPr>
        <w:t xml:space="preserve">La flotta del Gruppo </w:t>
      </w:r>
      <w:r>
        <w:rPr>
          <w:i/>
          <w:iCs/>
          <w:sz w:val="18"/>
          <w:szCs w:val="18"/>
        </w:rPr>
        <w:t>IAG</w:t>
      </w:r>
      <w:r w:rsidRPr="0018684E">
        <w:rPr>
          <w:i/>
          <w:iCs/>
          <w:sz w:val="18"/>
          <w:szCs w:val="18"/>
        </w:rPr>
        <w:t xml:space="preserve"> al 31/12/2024</w:t>
      </w:r>
    </w:p>
    <w:p w14:paraId="3683A741" w14:textId="77777777" w:rsidR="0018684E" w:rsidRDefault="0018684E" w:rsidP="0018684E">
      <w:pPr>
        <w:jc w:val="center"/>
      </w:pPr>
    </w:p>
    <w:p w14:paraId="5D787F85" w14:textId="77777777" w:rsidR="00D047B9" w:rsidRDefault="00D047B9" w:rsidP="00486871">
      <w:pPr>
        <w:spacing w:after="0"/>
      </w:pPr>
    </w:p>
    <w:p w14:paraId="789AA60D" w14:textId="0E8D86C8" w:rsidR="00B1590A" w:rsidRDefault="00E62F15" w:rsidP="00E62F15">
      <w:pPr>
        <w:pStyle w:val="Paragrafoelenco"/>
        <w:numPr>
          <w:ilvl w:val="0"/>
          <w:numId w:val="1"/>
        </w:numPr>
        <w:spacing w:after="0"/>
        <w:rPr>
          <w:sz w:val="20"/>
          <w:szCs w:val="20"/>
        </w:rPr>
      </w:pPr>
      <w:hyperlink r:id="rId8" w:history="1">
        <w:r w:rsidRPr="006C76D3">
          <w:rPr>
            <w:rStyle w:val="Collegamentoipertestuale"/>
            <w:sz w:val="20"/>
            <w:szCs w:val="20"/>
          </w:rPr>
          <w:t>https://www.aviation-industry-news.com/lannual-report-2024-di-lufthansa/</w:t>
        </w:r>
      </w:hyperlink>
    </w:p>
    <w:p w14:paraId="093F45FE" w14:textId="79A23036" w:rsidR="00E62F15" w:rsidRDefault="00E62F15" w:rsidP="00E62F15">
      <w:pPr>
        <w:pStyle w:val="Paragrafoelenco"/>
        <w:numPr>
          <w:ilvl w:val="0"/>
          <w:numId w:val="1"/>
        </w:numPr>
        <w:spacing w:after="0"/>
        <w:rPr>
          <w:sz w:val="20"/>
          <w:szCs w:val="20"/>
        </w:rPr>
      </w:pPr>
      <w:r>
        <w:rPr>
          <w:sz w:val="20"/>
          <w:szCs w:val="20"/>
        </w:rPr>
        <w:t xml:space="preserve">AF/KL hanno pubblicato i dati finanziari </w:t>
      </w:r>
      <w:proofErr w:type="gramStart"/>
      <w:r>
        <w:rPr>
          <w:sz w:val="20"/>
          <w:szCs w:val="20"/>
        </w:rPr>
        <w:t>ma  i</w:t>
      </w:r>
      <w:proofErr w:type="gramEnd"/>
      <w:r>
        <w:rPr>
          <w:sz w:val="20"/>
          <w:szCs w:val="20"/>
        </w:rPr>
        <w:t xml:space="preserve"> dati di traffico</w:t>
      </w:r>
      <w:r w:rsidR="00AF1965">
        <w:rPr>
          <w:sz w:val="20"/>
          <w:szCs w:val="20"/>
        </w:rPr>
        <w:t xml:space="preserve"> non sono completi</w:t>
      </w:r>
      <w:r w:rsidR="0070200D">
        <w:rPr>
          <w:sz w:val="20"/>
          <w:szCs w:val="20"/>
        </w:rPr>
        <w:t>..</w:t>
      </w:r>
    </w:p>
    <w:p w14:paraId="5019DFE4" w14:textId="389A2B0B" w:rsidR="00DA065C" w:rsidRDefault="00AF1965" w:rsidP="00E62F15">
      <w:pPr>
        <w:pStyle w:val="Paragrafoelenco"/>
        <w:numPr>
          <w:ilvl w:val="0"/>
          <w:numId w:val="1"/>
        </w:numPr>
        <w:spacing w:after="0"/>
        <w:rPr>
          <w:sz w:val="20"/>
          <w:szCs w:val="20"/>
        </w:rPr>
      </w:pPr>
      <w:r>
        <w:rPr>
          <w:sz w:val="20"/>
          <w:szCs w:val="20"/>
        </w:rPr>
        <w:t xml:space="preserve">Pag. 053 </w:t>
      </w:r>
      <w:proofErr w:type="gramStart"/>
      <w:r>
        <w:rPr>
          <w:sz w:val="20"/>
          <w:szCs w:val="20"/>
        </w:rPr>
        <w:t>dell’ Annual</w:t>
      </w:r>
      <w:proofErr w:type="gramEnd"/>
      <w:r>
        <w:rPr>
          <w:sz w:val="20"/>
          <w:szCs w:val="20"/>
        </w:rPr>
        <w:t xml:space="preserve"> Report</w:t>
      </w:r>
    </w:p>
    <w:p w14:paraId="7D10A765" w14:textId="5E208D70" w:rsidR="00AF1965" w:rsidRDefault="00AF1965" w:rsidP="00E62F15">
      <w:pPr>
        <w:pStyle w:val="Paragrafoelenco"/>
        <w:numPr>
          <w:ilvl w:val="0"/>
          <w:numId w:val="1"/>
        </w:numPr>
        <w:spacing w:after="0"/>
        <w:rPr>
          <w:sz w:val="20"/>
          <w:szCs w:val="20"/>
        </w:rPr>
      </w:pPr>
      <w:r>
        <w:rPr>
          <w:sz w:val="20"/>
          <w:szCs w:val="20"/>
        </w:rPr>
        <w:t>Pag. 042 dell’Annual Report</w:t>
      </w:r>
      <w:r w:rsidR="0070200D">
        <w:rPr>
          <w:sz w:val="20"/>
          <w:szCs w:val="20"/>
        </w:rPr>
        <w:t>.</w:t>
      </w:r>
    </w:p>
    <w:p w14:paraId="53A962F4" w14:textId="5807F8F3" w:rsidR="00EB7922" w:rsidRDefault="00EB7922" w:rsidP="00E62F15">
      <w:pPr>
        <w:pStyle w:val="Paragrafoelenco"/>
        <w:numPr>
          <w:ilvl w:val="0"/>
          <w:numId w:val="1"/>
        </w:numPr>
        <w:spacing w:after="0"/>
        <w:rPr>
          <w:sz w:val="20"/>
          <w:szCs w:val="20"/>
        </w:rPr>
      </w:pPr>
      <w:r>
        <w:rPr>
          <w:sz w:val="20"/>
          <w:szCs w:val="20"/>
        </w:rPr>
        <w:t>Tabella contenuta</w:t>
      </w:r>
      <w:r w:rsidR="003E5615">
        <w:rPr>
          <w:sz w:val="20"/>
          <w:szCs w:val="20"/>
        </w:rPr>
        <w:t xml:space="preserve"> a pag.17</w:t>
      </w:r>
      <w:r>
        <w:rPr>
          <w:sz w:val="20"/>
          <w:szCs w:val="20"/>
        </w:rPr>
        <w:t xml:space="preserve"> </w:t>
      </w:r>
      <w:r w:rsidR="003E5615">
        <w:rPr>
          <w:sz w:val="20"/>
          <w:szCs w:val="20"/>
        </w:rPr>
        <w:t>d</w:t>
      </w:r>
      <w:r>
        <w:rPr>
          <w:sz w:val="20"/>
          <w:szCs w:val="20"/>
        </w:rPr>
        <w:t xml:space="preserve">el </w:t>
      </w:r>
      <w:r w:rsidR="003E5615">
        <w:rPr>
          <w:sz w:val="20"/>
          <w:szCs w:val="20"/>
        </w:rPr>
        <w:t>documento</w:t>
      </w:r>
      <w:r>
        <w:rPr>
          <w:sz w:val="20"/>
          <w:szCs w:val="20"/>
        </w:rPr>
        <w:t xml:space="preserve">: </w:t>
      </w:r>
      <w:r w:rsidR="003E5615">
        <w:rPr>
          <w:sz w:val="20"/>
          <w:szCs w:val="20"/>
        </w:rPr>
        <w:t xml:space="preserve">“Full Year Results 2024” dove viene precisato: </w:t>
      </w:r>
      <w:r w:rsidR="003E5615" w:rsidRPr="003E5615">
        <w:rPr>
          <w:i/>
          <w:iCs/>
          <w:sz w:val="20"/>
          <w:szCs w:val="20"/>
        </w:rPr>
        <w:t>AirFrance: limited</w:t>
      </w:r>
      <w:r w:rsidR="003E5615">
        <w:rPr>
          <w:i/>
          <w:iCs/>
          <w:sz w:val="20"/>
          <w:szCs w:val="20"/>
        </w:rPr>
        <w:t xml:space="preserve"> </w:t>
      </w:r>
      <w:r w:rsidR="003E5615" w:rsidRPr="003E5615">
        <w:rPr>
          <w:i/>
          <w:iCs/>
          <w:sz w:val="20"/>
          <w:szCs w:val="20"/>
        </w:rPr>
        <w:t>operating</w:t>
      </w:r>
      <w:r w:rsidR="003E5615">
        <w:rPr>
          <w:i/>
          <w:iCs/>
          <w:sz w:val="20"/>
          <w:szCs w:val="20"/>
        </w:rPr>
        <w:t xml:space="preserve"> </w:t>
      </w:r>
      <w:r w:rsidR="003E5615" w:rsidRPr="003E5615">
        <w:rPr>
          <w:i/>
          <w:iCs/>
          <w:sz w:val="20"/>
          <w:szCs w:val="20"/>
        </w:rPr>
        <w:t>margin</w:t>
      </w:r>
      <w:r w:rsidR="003E5615">
        <w:rPr>
          <w:i/>
          <w:iCs/>
          <w:sz w:val="20"/>
          <w:szCs w:val="20"/>
        </w:rPr>
        <w:t xml:space="preserve"> </w:t>
      </w:r>
      <w:r w:rsidR="003E5615" w:rsidRPr="003E5615">
        <w:rPr>
          <w:i/>
          <w:iCs/>
          <w:sz w:val="20"/>
          <w:szCs w:val="20"/>
        </w:rPr>
        <w:t>decline</w:t>
      </w:r>
      <w:r w:rsidR="003E5615">
        <w:rPr>
          <w:i/>
          <w:iCs/>
          <w:sz w:val="20"/>
          <w:szCs w:val="20"/>
        </w:rPr>
        <w:t xml:space="preserve"> </w:t>
      </w:r>
      <w:r w:rsidR="003E5615" w:rsidRPr="003E5615">
        <w:rPr>
          <w:i/>
          <w:iCs/>
          <w:sz w:val="20"/>
          <w:szCs w:val="20"/>
        </w:rPr>
        <w:t>despite</w:t>
      </w:r>
      <w:r w:rsidR="003E5615">
        <w:rPr>
          <w:i/>
          <w:iCs/>
          <w:sz w:val="20"/>
          <w:szCs w:val="20"/>
        </w:rPr>
        <w:t xml:space="preserve"> </w:t>
      </w:r>
      <w:r w:rsidR="003E5615" w:rsidRPr="003E5615">
        <w:rPr>
          <w:i/>
          <w:iCs/>
          <w:sz w:val="20"/>
          <w:szCs w:val="20"/>
        </w:rPr>
        <w:t>negative</w:t>
      </w:r>
      <w:r w:rsidR="003E5615">
        <w:rPr>
          <w:i/>
          <w:iCs/>
          <w:sz w:val="20"/>
          <w:szCs w:val="20"/>
        </w:rPr>
        <w:t xml:space="preserve"> </w:t>
      </w:r>
      <w:r w:rsidR="003E5615" w:rsidRPr="003E5615">
        <w:rPr>
          <w:i/>
          <w:iCs/>
          <w:sz w:val="20"/>
          <w:szCs w:val="20"/>
        </w:rPr>
        <w:t>impact</w:t>
      </w:r>
      <w:r w:rsidR="003E5615">
        <w:rPr>
          <w:i/>
          <w:iCs/>
          <w:sz w:val="20"/>
          <w:szCs w:val="20"/>
        </w:rPr>
        <w:t xml:space="preserve"> </w:t>
      </w:r>
      <w:r w:rsidR="003E5615" w:rsidRPr="003E5615">
        <w:rPr>
          <w:i/>
          <w:iCs/>
          <w:sz w:val="20"/>
          <w:szCs w:val="20"/>
        </w:rPr>
        <w:t>of</w:t>
      </w:r>
      <w:r w:rsidR="003E5615">
        <w:rPr>
          <w:i/>
          <w:iCs/>
          <w:sz w:val="20"/>
          <w:szCs w:val="20"/>
        </w:rPr>
        <w:t xml:space="preserve"> </w:t>
      </w:r>
      <w:r w:rsidR="003E5615" w:rsidRPr="003E5615">
        <w:rPr>
          <w:i/>
          <w:iCs/>
          <w:sz w:val="20"/>
          <w:szCs w:val="20"/>
        </w:rPr>
        <w:t>the</w:t>
      </w:r>
      <w:r w:rsidR="003E5615">
        <w:rPr>
          <w:i/>
          <w:iCs/>
          <w:sz w:val="20"/>
          <w:szCs w:val="20"/>
        </w:rPr>
        <w:t xml:space="preserve"> </w:t>
      </w:r>
      <w:r w:rsidR="003E5615" w:rsidRPr="003E5615">
        <w:rPr>
          <w:i/>
          <w:iCs/>
          <w:sz w:val="20"/>
          <w:szCs w:val="20"/>
        </w:rPr>
        <w:t>Olympic</w:t>
      </w:r>
      <w:r w:rsidR="003E5615">
        <w:rPr>
          <w:i/>
          <w:iCs/>
          <w:sz w:val="20"/>
          <w:szCs w:val="20"/>
        </w:rPr>
        <w:t xml:space="preserve"> </w:t>
      </w:r>
      <w:r w:rsidR="003E5615" w:rsidRPr="003E5615">
        <w:rPr>
          <w:i/>
          <w:iCs/>
          <w:sz w:val="20"/>
          <w:szCs w:val="20"/>
        </w:rPr>
        <w:t>Games(€250m)</w:t>
      </w:r>
      <w:r w:rsidR="004C3434">
        <w:rPr>
          <w:i/>
          <w:iCs/>
          <w:sz w:val="20"/>
          <w:szCs w:val="20"/>
        </w:rPr>
        <w:t xml:space="preserve">  </w:t>
      </w:r>
    </w:p>
    <w:p w14:paraId="3D1CEDE4" w14:textId="1F87E868" w:rsidR="004C3434" w:rsidRDefault="004C3434" w:rsidP="00E62F15">
      <w:pPr>
        <w:pStyle w:val="Paragrafoelenco"/>
        <w:numPr>
          <w:ilvl w:val="0"/>
          <w:numId w:val="1"/>
        </w:numPr>
        <w:spacing w:after="0"/>
        <w:rPr>
          <w:sz w:val="20"/>
          <w:szCs w:val="20"/>
        </w:rPr>
      </w:pPr>
      <w:r>
        <w:rPr>
          <w:sz w:val="20"/>
          <w:szCs w:val="20"/>
        </w:rPr>
        <w:t>La SAS ha chiuso il suo esercizio il 31 ottobre 2024.</w:t>
      </w:r>
    </w:p>
    <w:p w14:paraId="6BB9BF97" w14:textId="77777777" w:rsidR="00C35EB7" w:rsidRDefault="00C35EB7" w:rsidP="00C35EB7">
      <w:pPr>
        <w:spacing w:after="0"/>
        <w:rPr>
          <w:sz w:val="20"/>
          <w:szCs w:val="20"/>
        </w:rPr>
      </w:pPr>
    </w:p>
    <w:p w14:paraId="5606904C" w14:textId="77777777" w:rsidR="00C35EB7" w:rsidRDefault="00C35EB7" w:rsidP="00C35EB7">
      <w:pPr>
        <w:spacing w:after="0"/>
        <w:rPr>
          <w:sz w:val="20"/>
          <w:szCs w:val="20"/>
        </w:rPr>
      </w:pPr>
    </w:p>
    <w:p w14:paraId="5E96D047" w14:textId="77777777" w:rsidR="00C35EB7" w:rsidRDefault="00C35EB7" w:rsidP="00C35EB7">
      <w:pPr>
        <w:spacing w:after="0"/>
        <w:rPr>
          <w:sz w:val="20"/>
          <w:szCs w:val="20"/>
        </w:rPr>
      </w:pPr>
    </w:p>
    <w:p w14:paraId="3C150770" w14:textId="77777777" w:rsidR="00C35EB7" w:rsidRDefault="00C35EB7" w:rsidP="00C35EB7">
      <w:pPr>
        <w:spacing w:after="0"/>
        <w:rPr>
          <w:sz w:val="20"/>
          <w:szCs w:val="20"/>
        </w:rPr>
      </w:pPr>
    </w:p>
    <w:p w14:paraId="445F7F94" w14:textId="77777777" w:rsidR="00C35EB7" w:rsidRDefault="00C35EB7" w:rsidP="00C35EB7">
      <w:pPr>
        <w:spacing w:after="0"/>
        <w:rPr>
          <w:sz w:val="20"/>
          <w:szCs w:val="20"/>
        </w:rPr>
      </w:pPr>
    </w:p>
    <w:p w14:paraId="1D5CEEB0" w14:textId="77777777" w:rsidR="00C35EB7" w:rsidRDefault="00C35EB7" w:rsidP="00C35EB7">
      <w:pPr>
        <w:spacing w:after="0"/>
        <w:rPr>
          <w:sz w:val="20"/>
          <w:szCs w:val="20"/>
        </w:rPr>
      </w:pPr>
    </w:p>
    <w:p w14:paraId="00C1F9B3" w14:textId="18EE7AD9" w:rsidR="00C35EB7" w:rsidRDefault="00C35EB7" w:rsidP="00C35EB7">
      <w:pPr>
        <w:spacing w:after="0"/>
        <w:rPr>
          <w:i/>
          <w:iCs/>
          <w:sz w:val="16"/>
          <w:szCs w:val="16"/>
        </w:rPr>
      </w:pPr>
      <w:r>
        <w:rPr>
          <w:i/>
          <w:iCs/>
          <w:sz w:val="16"/>
          <w:szCs w:val="16"/>
        </w:rPr>
        <w:t>25 Marzo 2025</w:t>
      </w:r>
    </w:p>
    <w:p w14:paraId="5D2267F8" w14:textId="77777777" w:rsidR="00C35EB7" w:rsidRDefault="00C35EB7" w:rsidP="00C35EB7">
      <w:pPr>
        <w:spacing w:after="0"/>
        <w:rPr>
          <w:i/>
          <w:iCs/>
          <w:sz w:val="16"/>
          <w:szCs w:val="16"/>
        </w:rPr>
      </w:pPr>
    </w:p>
    <w:p w14:paraId="4A3CFD14" w14:textId="5B56E96B" w:rsidR="00C35EB7" w:rsidRDefault="00B95EF1" w:rsidP="00C35EB7">
      <w:pPr>
        <w:spacing w:after="0"/>
        <w:rPr>
          <w:b/>
          <w:bCs/>
          <w:i/>
          <w:iCs/>
          <w:color w:val="4472C4" w:themeColor="accent1"/>
          <w:sz w:val="20"/>
          <w:szCs w:val="20"/>
        </w:rPr>
      </w:pPr>
      <w:r>
        <w:rPr>
          <w:i/>
          <w:iCs/>
          <w:sz w:val="16"/>
          <w:szCs w:val="16"/>
        </w:rPr>
        <w:t xml:space="preserve">   </w:t>
      </w:r>
      <w:r w:rsidR="00C35EB7">
        <w:rPr>
          <w:i/>
          <w:iCs/>
          <w:sz w:val="16"/>
          <w:szCs w:val="16"/>
        </w:rPr>
        <w:tab/>
      </w:r>
      <w:r w:rsidR="00C35EB7">
        <w:rPr>
          <w:i/>
          <w:iCs/>
          <w:sz w:val="16"/>
          <w:szCs w:val="16"/>
        </w:rPr>
        <w:tab/>
      </w:r>
      <w:r w:rsidR="00C35EB7">
        <w:rPr>
          <w:i/>
          <w:iCs/>
          <w:sz w:val="16"/>
          <w:szCs w:val="16"/>
        </w:rPr>
        <w:tab/>
      </w:r>
      <w:r w:rsidR="00C35EB7">
        <w:rPr>
          <w:i/>
          <w:iCs/>
          <w:sz w:val="16"/>
          <w:szCs w:val="16"/>
        </w:rPr>
        <w:tab/>
      </w:r>
      <w:r>
        <w:rPr>
          <w:i/>
          <w:iCs/>
          <w:sz w:val="16"/>
          <w:szCs w:val="16"/>
        </w:rPr>
        <w:t xml:space="preserve">      </w:t>
      </w:r>
      <w:r w:rsidR="00C35EB7" w:rsidRPr="00B95EF1">
        <w:rPr>
          <w:b/>
          <w:bCs/>
          <w:i/>
          <w:iCs/>
          <w:color w:val="4472C4" w:themeColor="accent1"/>
          <w:sz w:val="20"/>
          <w:szCs w:val="20"/>
        </w:rPr>
        <w:t>Aviation-Industry-News.com</w:t>
      </w:r>
    </w:p>
    <w:p w14:paraId="6BBACBC8" w14:textId="77777777" w:rsidR="00DB322A" w:rsidRDefault="00DB322A" w:rsidP="00C35EB7">
      <w:pPr>
        <w:spacing w:after="0"/>
        <w:rPr>
          <w:b/>
          <w:bCs/>
          <w:i/>
          <w:iCs/>
          <w:color w:val="4472C4" w:themeColor="accent1"/>
          <w:sz w:val="20"/>
          <w:szCs w:val="20"/>
        </w:rPr>
      </w:pPr>
    </w:p>
    <w:p w14:paraId="40EE5784" w14:textId="77777777" w:rsidR="00DB322A" w:rsidRPr="001E30DA" w:rsidRDefault="00DB322A" w:rsidP="00DB322A">
      <w:pPr>
        <w:ind w:left="2124" w:firstLine="708"/>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roofErr w:type="gramStart"/>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E’</w:t>
      </w:r>
      <w:proofErr w:type="gramEnd"/>
      <w:r w:rsidRPr="001E30DA">
        <w:rPr>
          <w:b/>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uscito il nuovo libro:</w:t>
      </w:r>
    </w:p>
    <w:p w14:paraId="12A03215" w14:textId="77777777" w:rsidR="00DB322A" w:rsidRDefault="00DB322A" w:rsidP="00DB322A">
      <w:pPr>
        <w:jc w:val="center"/>
        <w:rPr>
          <w:noProof/>
        </w:rPr>
      </w:pPr>
    </w:p>
    <w:p w14:paraId="26ADFBEA" w14:textId="77777777" w:rsidR="00DB322A" w:rsidRDefault="00DB322A" w:rsidP="00DB322A">
      <w:pPr>
        <w:jc w:val="center"/>
      </w:pPr>
      <w:r>
        <w:rPr>
          <w:noProof/>
        </w:rPr>
        <w:drawing>
          <wp:inline distT="0" distB="0" distL="0" distR="0" wp14:anchorId="2A7D3692" wp14:editId="20A34FBD">
            <wp:extent cx="2304000" cy="3218400"/>
            <wp:effectExtent l="0" t="0" r="1270" b="1270"/>
            <wp:docPr id="204147600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476008" name="Immagine 204147600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4000" cy="3218400"/>
                    </a:xfrm>
                    <a:prstGeom prst="rect">
                      <a:avLst/>
                    </a:prstGeom>
                  </pic:spPr>
                </pic:pic>
              </a:graphicData>
            </a:graphic>
          </wp:inline>
        </w:drawing>
      </w:r>
    </w:p>
    <w:p w14:paraId="7BA600E4" w14:textId="77777777" w:rsidR="00DB322A" w:rsidRDefault="00DB322A" w:rsidP="00DB322A">
      <w:pPr>
        <w:rPr>
          <w:sz w:val="18"/>
          <w:szCs w:val="18"/>
        </w:rPr>
      </w:pPr>
      <w:r w:rsidRPr="001E30DA">
        <w:rPr>
          <w:sz w:val="18"/>
          <w:szCs w:val="18"/>
        </w:rPr>
        <w:t xml:space="preserve">Ryanair è la compagnia aerea più discussa del nostro tempo. La sua storia, la sua ascesa, i suoi </w:t>
      </w:r>
      <w:proofErr w:type="gramStart"/>
      <w:r w:rsidRPr="001E30DA">
        <w:rPr>
          <w:sz w:val="18"/>
          <w:szCs w:val="18"/>
        </w:rPr>
        <w:t>successi  non</w:t>
      </w:r>
      <w:proofErr w:type="gramEnd"/>
      <w:r w:rsidRPr="001E30DA">
        <w:rPr>
          <w:sz w:val="18"/>
          <w:szCs w:val="18"/>
        </w:rPr>
        <w:t xml:space="preserve"> sono conosciuti come meritano. Di lei sentiamo parlare quando viene data notizia di una causa in tribunale o di un richiamo da parte di una qualche autorità aeronautica, ma </w:t>
      </w:r>
      <w:proofErr w:type="gramStart"/>
      <w:r w:rsidRPr="001E30DA">
        <w:rPr>
          <w:sz w:val="18"/>
          <w:szCs w:val="18"/>
        </w:rPr>
        <w:t>poi  dell’esito</w:t>
      </w:r>
      <w:proofErr w:type="gramEnd"/>
      <w:r w:rsidRPr="001E30DA">
        <w:rPr>
          <w:sz w:val="18"/>
          <w:szCs w:val="18"/>
        </w:rPr>
        <w:t xml:space="preserve"> finale di queste operazioni, dei ricorsi -il più delle volte vinti- non se ne parla, e così intorno ad essa fioriscono leggende  metropolitane e pretestuose opinioni. Me se la compagnia irlandese è riuscita a superare tutte le compagnie aeree europee, anche quelle di bandiera, nel numero passeggeri trasportati ed è attualmente -anno 2024- la seconda al mondo, una ragione del suo incredibile successo deve pure esserci, e crediamo sia opportuno portarlo a conoscenza di tutti coloro (200 milioni all’anno) che si imbarcano sui suoi aerei. Il modello da lei lanciato è stato poi copiato da altri vettori ed oggi il tema del </w:t>
      </w:r>
      <w:r w:rsidRPr="001E30DA">
        <w:rPr>
          <w:i/>
          <w:iCs/>
          <w:sz w:val="18"/>
          <w:szCs w:val="18"/>
        </w:rPr>
        <w:t xml:space="preserve">Low </w:t>
      </w:r>
      <w:proofErr w:type="gramStart"/>
      <w:r w:rsidRPr="001E30DA">
        <w:rPr>
          <w:i/>
          <w:iCs/>
          <w:sz w:val="18"/>
          <w:szCs w:val="18"/>
        </w:rPr>
        <w:t>Cost</w:t>
      </w:r>
      <w:r w:rsidRPr="001E30DA">
        <w:rPr>
          <w:sz w:val="18"/>
          <w:szCs w:val="18"/>
        </w:rPr>
        <w:t xml:space="preserve">  è</w:t>
      </w:r>
      <w:proofErr w:type="gramEnd"/>
      <w:r w:rsidRPr="001E30DA">
        <w:rPr>
          <w:sz w:val="18"/>
          <w:szCs w:val="18"/>
        </w:rPr>
        <w:t xml:space="preserve"> di grande attualità. Indubbiamente Ryanair merita un “Case Study” ovvero un rapporto completo dei risultati, dell’esame dei temi emergenti di un’azienda nel contesto della sua vita reale. Analizzare il suo Case Study si può rivelare fondamentale per qualsiasi imprenditore. Identificando i problemi che impediscono a un’azienda di raggiungere tutti i suoi obiettivi, è più facile apportare le correzioni necessarie per promuovere il successo attraverso la raccolta dei dati pertinenti.   Quindi non solo storia e numeri, ma anche uno sguardo approfondito su ciò che </w:t>
      </w:r>
      <w:r w:rsidRPr="001E30DA">
        <w:rPr>
          <w:i/>
          <w:iCs/>
          <w:sz w:val="18"/>
          <w:szCs w:val="18"/>
        </w:rPr>
        <w:t>il modello</w:t>
      </w:r>
      <w:r w:rsidRPr="001E30DA">
        <w:rPr>
          <w:sz w:val="18"/>
          <w:szCs w:val="18"/>
        </w:rPr>
        <w:t xml:space="preserve"> Ryanair può insegnare nel linguaggio del marketing aziendale.</w:t>
      </w:r>
    </w:p>
    <w:p w14:paraId="6F301CAD" w14:textId="77777777" w:rsidR="00DB322A" w:rsidRDefault="00DB322A" w:rsidP="00DB322A">
      <w:pPr>
        <w:rPr>
          <w:sz w:val="18"/>
          <w:szCs w:val="18"/>
        </w:rPr>
      </w:pPr>
    </w:p>
    <w:p w14:paraId="707D4B63" w14:textId="77777777" w:rsidR="00DB322A" w:rsidRDefault="00DB322A" w:rsidP="00DB322A">
      <w:pPr>
        <w:rPr>
          <w:sz w:val="18"/>
          <w:szCs w:val="18"/>
        </w:rPr>
      </w:pPr>
    </w:p>
    <w:p w14:paraId="5B995C7A" w14:textId="77777777" w:rsidR="00DB322A" w:rsidRPr="001E30DA" w:rsidRDefault="00DB322A" w:rsidP="00DB322A">
      <w:pPr>
        <w:rPr>
          <w:sz w:val="18"/>
          <w:szCs w:val="18"/>
        </w:rPr>
      </w:pPr>
    </w:p>
    <w:p w14:paraId="13E77804" w14:textId="77777777" w:rsidR="00DB322A" w:rsidRDefault="00DB322A" w:rsidP="00DB322A">
      <w:pPr>
        <w:pBdr>
          <w:top w:val="single" w:sz="4" w:space="1" w:color="auto"/>
          <w:left w:val="single" w:sz="4" w:space="0"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31F400BA" w14:textId="77777777" w:rsidR="00DB322A" w:rsidRPr="00D34186" w:rsidRDefault="00DB322A" w:rsidP="00DB322A">
      <w:pPr>
        <w:pBdr>
          <w:top w:val="single" w:sz="4" w:space="1" w:color="auto"/>
          <w:left w:val="single" w:sz="4" w:space="0"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0" w:history="1">
        <w:r>
          <w:rPr>
            <w:rStyle w:val="Collegamentoipertestuale"/>
            <w:rFonts w:ascii="Bahnschrift SemiCondensed" w:hAnsi="Bahnschrift SemiCondensed"/>
            <w:sz w:val="24"/>
            <w:szCs w:val="24"/>
          </w:rPr>
          <w:t>antonio.bordoni@yahoo.it</w:t>
        </w:r>
      </w:hyperlink>
    </w:p>
    <w:p w14:paraId="4AC69FD4" w14:textId="77777777" w:rsidR="00DB322A" w:rsidRPr="00B95EF1" w:rsidRDefault="00DB322A" w:rsidP="00C35EB7">
      <w:pPr>
        <w:spacing w:after="0"/>
        <w:rPr>
          <w:b/>
          <w:bCs/>
          <w:i/>
          <w:iCs/>
          <w:color w:val="4472C4" w:themeColor="accent1"/>
          <w:sz w:val="20"/>
          <w:szCs w:val="20"/>
        </w:rPr>
      </w:pPr>
    </w:p>
    <w:sectPr w:rsidR="00DB322A" w:rsidRPr="00B95E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71F29"/>
    <w:multiLevelType w:val="hybridMultilevel"/>
    <w:tmpl w:val="B0924784"/>
    <w:lvl w:ilvl="0" w:tplc="C76055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9531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5B"/>
    <w:rsid w:val="00024019"/>
    <w:rsid w:val="000B5FB1"/>
    <w:rsid w:val="0018684E"/>
    <w:rsid w:val="001A20F9"/>
    <w:rsid w:val="001A4075"/>
    <w:rsid w:val="00302858"/>
    <w:rsid w:val="003E5615"/>
    <w:rsid w:val="00456597"/>
    <w:rsid w:val="0046719F"/>
    <w:rsid w:val="00486871"/>
    <w:rsid w:val="004C3434"/>
    <w:rsid w:val="004D1F2E"/>
    <w:rsid w:val="004D2A23"/>
    <w:rsid w:val="005F677A"/>
    <w:rsid w:val="006B6C2C"/>
    <w:rsid w:val="006C035B"/>
    <w:rsid w:val="0070200D"/>
    <w:rsid w:val="007A1F0B"/>
    <w:rsid w:val="00812954"/>
    <w:rsid w:val="0082217D"/>
    <w:rsid w:val="008A039A"/>
    <w:rsid w:val="00910323"/>
    <w:rsid w:val="009B1E92"/>
    <w:rsid w:val="009B580B"/>
    <w:rsid w:val="00A779E4"/>
    <w:rsid w:val="00AD00EA"/>
    <w:rsid w:val="00AE6B7C"/>
    <w:rsid w:val="00AF1965"/>
    <w:rsid w:val="00B1590A"/>
    <w:rsid w:val="00B95EF1"/>
    <w:rsid w:val="00BB0959"/>
    <w:rsid w:val="00BB5C5C"/>
    <w:rsid w:val="00C31826"/>
    <w:rsid w:val="00C35EB7"/>
    <w:rsid w:val="00C834DC"/>
    <w:rsid w:val="00D047B9"/>
    <w:rsid w:val="00D129CC"/>
    <w:rsid w:val="00D465CE"/>
    <w:rsid w:val="00DA065C"/>
    <w:rsid w:val="00DB322A"/>
    <w:rsid w:val="00DF2CA8"/>
    <w:rsid w:val="00E24C49"/>
    <w:rsid w:val="00E62F15"/>
    <w:rsid w:val="00EB7922"/>
    <w:rsid w:val="00EC36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8BD4"/>
  <w15:chartTrackingRefBased/>
  <w15:docId w15:val="{2900C4AB-EC11-4B54-B6A0-EC4B0C6F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C03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C03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C035B"/>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C035B"/>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C035B"/>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C035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C035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C035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C035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C035B"/>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C035B"/>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C035B"/>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C035B"/>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C035B"/>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C035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C035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C035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C035B"/>
    <w:rPr>
      <w:rFonts w:eastAsiaTheme="majorEastAsia" w:cstheme="majorBidi"/>
      <w:color w:val="272727" w:themeColor="text1" w:themeTint="D8"/>
    </w:rPr>
  </w:style>
  <w:style w:type="paragraph" w:styleId="Titolo">
    <w:name w:val="Title"/>
    <w:basedOn w:val="Normale"/>
    <w:next w:val="Normale"/>
    <w:link w:val="TitoloCarattere"/>
    <w:uiPriority w:val="10"/>
    <w:qFormat/>
    <w:rsid w:val="006C0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C035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C035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C035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C035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C035B"/>
    <w:rPr>
      <w:i/>
      <w:iCs/>
      <w:color w:val="404040" w:themeColor="text1" w:themeTint="BF"/>
    </w:rPr>
  </w:style>
  <w:style w:type="paragraph" w:styleId="Paragrafoelenco">
    <w:name w:val="List Paragraph"/>
    <w:basedOn w:val="Normale"/>
    <w:uiPriority w:val="34"/>
    <w:qFormat/>
    <w:rsid w:val="006C035B"/>
    <w:pPr>
      <w:ind w:left="720"/>
      <w:contextualSpacing/>
    </w:pPr>
  </w:style>
  <w:style w:type="character" w:styleId="Enfasiintensa">
    <w:name w:val="Intense Emphasis"/>
    <w:basedOn w:val="Carpredefinitoparagrafo"/>
    <w:uiPriority w:val="21"/>
    <w:qFormat/>
    <w:rsid w:val="006C035B"/>
    <w:rPr>
      <w:i/>
      <w:iCs/>
      <w:color w:val="2F5496" w:themeColor="accent1" w:themeShade="BF"/>
    </w:rPr>
  </w:style>
  <w:style w:type="paragraph" w:styleId="Citazioneintensa">
    <w:name w:val="Intense Quote"/>
    <w:basedOn w:val="Normale"/>
    <w:next w:val="Normale"/>
    <w:link w:val="CitazioneintensaCarattere"/>
    <w:uiPriority w:val="30"/>
    <w:qFormat/>
    <w:rsid w:val="006C03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C035B"/>
    <w:rPr>
      <w:i/>
      <w:iCs/>
      <w:color w:val="2F5496" w:themeColor="accent1" w:themeShade="BF"/>
    </w:rPr>
  </w:style>
  <w:style w:type="character" w:styleId="Riferimentointenso">
    <w:name w:val="Intense Reference"/>
    <w:basedOn w:val="Carpredefinitoparagrafo"/>
    <w:uiPriority w:val="32"/>
    <w:qFormat/>
    <w:rsid w:val="006C035B"/>
    <w:rPr>
      <w:b/>
      <w:bCs/>
      <w:smallCaps/>
      <w:color w:val="2F5496" w:themeColor="accent1" w:themeShade="BF"/>
      <w:spacing w:val="5"/>
    </w:rPr>
  </w:style>
  <w:style w:type="character" w:styleId="Collegamentoipertestuale">
    <w:name w:val="Hyperlink"/>
    <w:basedOn w:val="Carpredefinitoparagrafo"/>
    <w:uiPriority w:val="99"/>
    <w:unhideWhenUsed/>
    <w:rsid w:val="00E62F15"/>
    <w:rPr>
      <w:color w:val="0563C1" w:themeColor="hyperlink"/>
      <w:u w:val="single"/>
    </w:rPr>
  </w:style>
  <w:style w:type="character" w:styleId="Menzionenonrisolta">
    <w:name w:val="Unresolved Mention"/>
    <w:basedOn w:val="Carpredefinitoparagrafo"/>
    <w:uiPriority w:val="99"/>
    <w:semiHidden/>
    <w:unhideWhenUsed/>
    <w:rsid w:val="00E62F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ation-industry-news.com/lannual-report-2024-di-lufthans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antonio.bordoni@yahoo.it"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1027</Words>
  <Characters>5858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10</cp:revision>
  <dcterms:created xsi:type="dcterms:W3CDTF">2025-03-25T08:39:00Z</dcterms:created>
  <dcterms:modified xsi:type="dcterms:W3CDTF">2025-03-25T08:55:00Z</dcterms:modified>
</cp:coreProperties>
</file>