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D24" w14:textId="77777777" w:rsidR="00D02A77" w:rsidRPr="00C30402" w:rsidRDefault="00D02A77" w:rsidP="00D02A77">
      <w:pPr>
        <w:rPr>
          <w:i/>
          <w:iCs/>
          <w:color w:val="00B0F0"/>
          <w:sz w:val="20"/>
          <w:szCs w:val="20"/>
        </w:rPr>
      </w:pPr>
      <w:r w:rsidRPr="00C30402">
        <w:rPr>
          <w:b/>
          <w:bCs/>
          <w:i/>
          <w:iCs/>
          <w:color w:val="00B0F0"/>
          <w:sz w:val="20"/>
          <w:szCs w:val="20"/>
        </w:rPr>
        <w:t>Aviation-Industry-News</w:t>
      </w:r>
    </w:p>
    <w:p w14:paraId="6EBF6C12" w14:textId="77777777" w:rsidR="006E7C03" w:rsidRDefault="006E7C03" w:rsidP="006E7C03">
      <w:pPr>
        <w:ind w:left="2124" w:firstLine="708"/>
        <w:rPr>
          <w:b/>
          <w:bCs/>
          <w:color w:val="00B0F0"/>
          <w:sz w:val="28"/>
          <w:szCs w:val="28"/>
        </w:rPr>
      </w:pPr>
      <w:r w:rsidRPr="00762FF6">
        <w:rPr>
          <w:b/>
          <w:bCs/>
          <w:color w:val="00B0F0"/>
          <w:sz w:val="28"/>
          <w:szCs w:val="28"/>
        </w:rPr>
        <w:t>ENAC: DATI TRAFFICO 2022</w:t>
      </w:r>
    </w:p>
    <w:p w14:paraId="40A1E72D" w14:textId="77777777" w:rsidR="006E7C03" w:rsidRPr="00762FF6" w:rsidRDefault="006E7C03" w:rsidP="006E7C03">
      <w:pPr>
        <w:rPr>
          <w:b/>
          <w:bCs/>
          <w:color w:val="00B0F0"/>
          <w:sz w:val="28"/>
          <w:szCs w:val="28"/>
        </w:rPr>
      </w:pPr>
    </w:p>
    <w:p w14:paraId="1E2E6DE9" w14:textId="77777777" w:rsidR="006E7C03" w:rsidRDefault="006E7C03" w:rsidP="006E7C03">
      <w:r>
        <w:t>In una nuova, più dinamica veste editoriale è stato pubblicato sul sito Enac il Rapporto Annuale sui dati di traffico 2022. Una fotografia completa sull’aviazione civile nel nostro Paese. In realtà un compendio sul totale movimenti traffico aeroportuale del ’22 messo a confronto con il 2019 era già apparso da tempo sul sito Enac, ma mancavano i dettagli, ora disponibili.</w:t>
      </w:r>
    </w:p>
    <w:p w14:paraId="763B3ED6" w14:textId="77777777" w:rsidR="006E7C03" w:rsidRDefault="006E7C03" w:rsidP="006E7C03">
      <w:pPr>
        <w:spacing w:after="0" w:line="240" w:lineRule="auto"/>
        <w:rPr>
          <w:i/>
          <w:iCs/>
        </w:rPr>
      </w:pPr>
      <w:r>
        <w:t xml:space="preserve">Partiamo dal </w:t>
      </w:r>
      <w:r w:rsidRPr="00762FF6">
        <w:rPr>
          <w:b/>
          <w:bCs/>
        </w:rPr>
        <w:t>numero passeggeri movimentati complessivamente sui nostri aeroporti</w:t>
      </w:r>
      <w:r>
        <w:t>. Sono stati 164.3 milioni, numero che significa un meno 14 per cento rispetto al 2019. Analoga percentuale in meno si registra sul numero movimento aeromobili che raggiunge nel 2022 1.2 milioni di unità. Questi due numeri non vanno interpretati come un calo del traffico quanto un progressivo riavvicinamento ai livelli del 2019. Differente invece la situazione del cargo con percentuali in aumento anche rispetto ai dati del 2019.</w:t>
      </w:r>
      <w:r w:rsidRPr="00DC54B7">
        <w:t xml:space="preserve"> </w:t>
      </w:r>
      <w:r>
        <w:t>Precisa a tal proposito il Rapporto: “</w:t>
      </w:r>
      <w:r w:rsidRPr="00DC54B7">
        <w:rPr>
          <w:i/>
          <w:iCs/>
        </w:rPr>
        <w:t xml:space="preserve">Si conferma che settore il cargo (+1,4% rispetto al 2019) è il segmento che ha risentito in </w:t>
      </w:r>
      <w:proofErr w:type="gramStart"/>
      <w:r w:rsidRPr="00DC54B7">
        <w:rPr>
          <w:i/>
          <w:iCs/>
        </w:rPr>
        <w:t xml:space="preserve">maniera </w:t>
      </w:r>
      <w:r>
        <w:rPr>
          <w:i/>
          <w:iCs/>
        </w:rPr>
        <w:t xml:space="preserve"> </w:t>
      </w:r>
      <w:r w:rsidRPr="00DC54B7">
        <w:rPr>
          <w:i/>
          <w:iCs/>
        </w:rPr>
        <w:t>minore</w:t>
      </w:r>
      <w:proofErr w:type="gramEnd"/>
      <w:r w:rsidRPr="00DC54B7">
        <w:rPr>
          <w:i/>
          <w:iCs/>
        </w:rPr>
        <w:t xml:space="preserve"> della crisi del trasporto aereo in quanto le merci hanno sempre continuato a viaggiare nonostante le restrizioni in vigore, facendo registrare incrementi, anche notevoli, su singoli aeroporti diventati, proprio nel contesto pandemico, scali di maggiore riferimento.</w:t>
      </w:r>
      <w:r>
        <w:rPr>
          <w:i/>
          <w:iCs/>
        </w:rPr>
        <w:t xml:space="preserve">”  </w:t>
      </w:r>
      <w:r w:rsidRPr="00DC54B7">
        <w:rPr>
          <w:color w:val="FF0000"/>
          <w:sz w:val="16"/>
          <w:szCs w:val="16"/>
        </w:rPr>
        <w:t>(1)</w:t>
      </w:r>
    </w:p>
    <w:p w14:paraId="59E6849D" w14:textId="77777777" w:rsidR="006E7C03" w:rsidRPr="00DC54B7" w:rsidRDefault="006E7C03" w:rsidP="006E7C03">
      <w:pPr>
        <w:spacing w:after="0" w:line="240" w:lineRule="auto"/>
        <w:rPr>
          <w:i/>
          <w:iCs/>
        </w:rPr>
      </w:pPr>
    </w:p>
    <w:p w14:paraId="7B7A5206" w14:textId="77777777" w:rsidR="006E7C03" w:rsidRDefault="006E7C03" w:rsidP="006E7C03">
      <w:pPr>
        <w:jc w:val="center"/>
      </w:pPr>
      <w:r w:rsidRPr="00762FF6">
        <w:rPr>
          <w:noProof/>
          <w:bdr w:val="single" w:sz="18" w:space="0" w:color="auto"/>
        </w:rPr>
        <w:drawing>
          <wp:inline distT="0" distB="0" distL="0" distR="0" wp14:anchorId="6AE1F486" wp14:editId="796EA181">
            <wp:extent cx="2743200" cy="680400"/>
            <wp:effectExtent l="0" t="0" r="0" b="5715"/>
            <wp:docPr id="14662768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76897" name="Immagine 1466276897"/>
                    <pic:cNvPicPr/>
                  </pic:nvPicPr>
                  <pic:blipFill>
                    <a:blip r:embed="rId5">
                      <a:extLst>
                        <a:ext uri="{28A0092B-C50C-407E-A947-70E740481C1C}">
                          <a14:useLocalDpi xmlns:a14="http://schemas.microsoft.com/office/drawing/2010/main" val="0"/>
                        </a:ext>
                      </a:extLst>
                    </a:blip>
                    <a:stretch>
                      <a:fillRect/>
                    </a:stretch>
                  </pic:blipFill>
                  <pic:spPr>
                    <a:xfrm>
                      <a:off x="0" y="0"/>
                      <a:ext cx="2743200" cy="680400"/>
                    </a:xfrm>
                    <a:prstGeom prst="rect">
                      <a:avLst/>
                    </a:prstGeom>
                  </pic:spPr>
                </pic:pic>
              </a:graphicData>
            </a:graphic>
          </wp:inline>
        </w:drawing>
      </w:r>
    </w:p>
    <w:p w14:paraId="1EA9ABF7" w14:textId="77777777" w:rsidR="006E7C03" w:rsidRDefault="006E7C03" w:rsidP="006E7C03"/>
    <w:p w14:paraId="6E36D8E7" w14:textId="77777777" w:rsidR="006E7C03" w:rsidRDefault="006E7C03" w:rsidP="006E7C03">
      <w:r>
        <w:t xml:space="preserve">A conferma dell’abbondanza di scali operativi nel nostro Paese il rapporto elenca 45 aeroporti aperti al traffico civile commerciale a cui si aggiungono 44 aeroporti aperti al traffico civile di aviazione generale. </w:t>
      </w:r>
      <w:r w:rsidRPr="00DC54B7">
        <w:rPr>
          <w:color w:val="FF0000"/>
          <w:sz w:val="16"/>
          <w:szCs w:val="16"/>
        </w:rPr>
        <w:t>(</w:t>
      </w:r>
      <w:r>
        <w:rPr>
          <w:color w:val="FF0000"/>
          <w:sz w:val="16"/>
          <w:szCs w:val="16"/>
        </w:rPr>
        <w:t>2</w:t>
      </w:r>
      <w:r w:rsidRPr="00DC54B7">
        <w:rPr>
          <w:color w:val="FF0000"/>
          <w:sz w:val="16"/>
          <w:szCs w:val="16"/>
        </w:rPr>
        <w:t>)</w:t>
      </w:r>
      <w:r w:rsidRPr="00DC54B7">
        <w:rPr>
          <w:color w:val="FF0000"/>
        </w:rPr>
        <w:t xml:space="preserve"> </w:t>
      </w:r>
      <w:r w:rsidRPr="001C4B69">
        <w:t xml:space="preserve">Se il </w:t>
      </w:r>
      <w:r>
        <w:t xml:space="preserve">maggior polo aeroportuale italiano viene indicato essere quello di Roma con i due scali di Ciampino e Fiumicino, rimane il fatto che aggiungendo il traffico dello scalo di Bergamo ai due aeroporti di Linate e Malpensa, il gruppo dei tre aeroporti dell’area lombarda supera abbondantemente quello di Roma. </w:t>
      </w:r>
      <w:r w:rsidRPr="005C28F6">
        <w:rPr>
          <w:color w:val="FF0000"/>
          <w:sz w:val="16"/>
          <w:szCs w:val="16"/>
        </w:rPr>
        <w:t>(3)</w:t>
      </w:r>
      <w:r w:rsidRPr="005C28F6">
        <w:rPr>
          <w:color w:val="FF0000"/>
        </w:rPr>
        <w:t xml:space="preserve"> </w:t>
      </w:r>
    </w:p>
    <w:p w14:paraId="492BFC45" w14:textId="77777777" w:rsidR="006E7C03" w:rsidRPr="00780652" w:rsidRDefault="006E7C03" w:rsidP="006E7C03">
      <w:pPr>
        <w:spacing w:after="0"/>
        <w:rPr>
          <w:color w:val="FF0000"/>
          <w:sz w:val="18"/>
          <w:szCs w:val="18"/>
        </w:rPr>
      </w:pPr>
      <w:r w:rsidRPr="00780652">
        <w:rPr>
          <w:color w:val="FF0000"/>
          <w:sz w:val="18"/>
          <w:szCs w:val="18"/>
        </w:rPr>
        <w:t>FCO/CIA</w:t>
      </w:r>
      <w:r w:rsidRPr="00780652">
        <w:rPr>
          <w:color w:val="FF0000"/>
          <w:sz w:val="18"/>
          <w:szCs w:val="18"/>
        </w:rPr>
        <w:tab/>
        <w:t xml:space="preserve">(29.1+3.4) = </w:t>
      </w:r>
      <w:r w:rsidRPr="00780652">
        <w:rPr>
          <w:color w:val="FF0000"/>
          <w:sz w:val="18"/>
          <w:szCs w:val="18"/>
        </w:rPr>
        <w:tab/>
        <w:t>32.5 milioni passeggeri</w:t>
      </w:r>
    </w:p>
    <w:p w14:paraId="3779C1B4" w14:textId="77777777" w:rsidR="006E7C03" w:rsidRPr="001C4B69" w:rsidRDefault="006E7C03" w:rsidP="006E7C03">
      <w:pPr>
        <w:spacing w:after="0"/>
        <w:rPr>
          <w:sz w:val="18"/>
          <w:szCs w:val="18"/>
        </w:rPr>
      </w:pPr>
      <w:r w:rsidRPr="001C4B69">
        <w:rPr>
          <w:sz w:val="18"/>
          <w:szCs w:val="18"/>
        </w:rPr>
        <w:t>MXP/LIN</w:t>
      </w:r>
      <w:r w:rsidRPr="001C4B69">
        <w:rPr>
          <w:sz w:val="18"/>
          <w:szCs w:val="18"/>
        </w:rPr>
        <w:tab/>
        <w:t xml:space="preserve">(21.2+7.6) = </w:t>
      </w:r>
      <w:r>
        <w:rPr>
          <w:sz w:val="18"/>
          <w:szCs w:val="18"/>
        </w:rPr>
        <w:tab/>
      </w:r>
      <w:r w:rsidRPr="001C4B69">
        <w:rPr>
          <w:sz w:val="18"/>
          <w:szCs w:val="18"/>
        </w:rPr>
        <w:t>28.8 milioni di passeggeri</w:t>
      </w:r>
    </w:p>
    <w:p w14:paraId="5508D9AD" w14:textId="77777777" w:rsidR="006E7C03" w:rsidRPr="001C4B69" w:rsidRDefault="006E7C03" w:rsidP="006E7C03">
      <w:pPr>
        <w:spacing w:after="0"/>
        <w:rPr>
          <w:sz w:val="18"/>
          <w:szCs w:val="18"/>
        </w:rPr>
      </w:pPr>
      <w:r w:rsidRPr="001C4B69">
        <w:rPr>
          <w:sz w:val="18"/>
          <w:szCs w:val="18"/>
        </w:rPr>
        <w:t>BGY</w:t>
      </w:r>
      <w:r w:rsidRPr="001C4B69">
        <w:rPr>
          <w:sz w:val="18"/>
          <w:szCs w:val="18"/>
        </w:rPr>
        <w:tab/>
      </w:r>
      <w:r>
        <w:rPr>
          <w:sz w:val="18"/>
          <w:szCs w:val="18"/>
        </w:rPr>
        <w:t>(</w:t>
      </w:r>
      <w:r w:rsidRPr="001C4B69">
        <w:rPr>
          <w:sz w:val="18"/>
          <w:szCs w:val="18"/>
        </w:rPr>
        <w:t>13.1</w:t>
      </w:r>
      <w:r>
        <w:rPr>
          <w:sz w:val="18"/>
          <w:szCs w:val="18"/>
        </w:rPr>
        <w:t>)</w:t>
      </w:r>
    </w:p>
    <w:p w14:paraId="4F93A008" w14:textId="77777777" w:rsidR="006E7C03" w:rsidRPr="00780652" w:rsidRDefault="006E7C03" w:rsidP="006E7C03">
      <w:pPr>
        <w:spacing w:after="0"/>
        <w:rPr>
          <w:color w:val="FF0000"/>
          <w:sz w:val="18"/>
          <w:szCs w:val="18"/>
        </w:rPr>
      </w:pPr>
      <w:r w:rsidRPr="00780652">
        <w:rPr>
          <w:color w:val="FF0000"/>
          <w:sz w:val="18"/>
          <w:szCs w:val="18"/>
        </w:rPr>
        <w:t xml:space="preserve">MXP/LIN/BGY </w:t>
      </w:r>
      <w:r w:rsidRPr="00780652">
        <w:rPr>
          <w:color w:val="FF0000"/>
          <w:sz w:val="18"/>
          <w:szCs w:val="18"/>
        </w:rPr>
        <w:tab/>
      </w:r>
      <w:r w:rsidRPr="00780652">
        <w:rPr>
          <w:color w:val="FF0000"/>
          <w:sz w:val="18"/>
          <w:szCs w:val="18"/>
        </w:rPr>
        <w:tab/>
        <w:t>41.9 milioni di passeggeri</w:t>
      </w:r>
    </w:p>
    <w:p w14:paraId="6D6F391B" w14:textId="77777777" w:rsidR="006E7C03" w:rsidRDefault="006E7C03" w:rsidP="006E7C03">
      <w:pPr>
        <w:spacing w:after="0"/>
        <w:rPr>
          <w:sz w:val="18"/>
          <w:szCs w:val="18"/>
        </w:rPr>
      </w:pPr>
    </w:p>
    <w:p w14:paraId="5EEEB7B8" w14:textId="77777777" w:rsidR="006E7C03" w:rsidRDefault="006E7C03" w:rsidP="006E7C03">
      <w:pPr>
        <w:spacing w:after="0"/>
      </w:pPr>
      <w:r w:rsidRPr="005C28F6">
        <w:t>Stessa considerazione si può applicare anche al numero movimento aeromobili</w:t>
      </w:r>
      <w:r>
        <w:t>, il quale in ogni caso è superiore a quello dei due scali romani anche senza includervi Bergamo.</w:t>
      </w:r>
    </w:p>
    <w:p w14:paraId="070AF1E0" w14:textId="77777777" w:rsidR="006E7C03" w:rsidRDefault="006E7C03" w:rsidP="006E7C03">
      <w:pPr>
        <w:spacing w:after="0"/>
      </w:pPr>
    </w:p>
    <w:p w14:paraId="49EDE4A8" w14:textId="77777777" w:rsidR="006E7C03" w:rsidRPr="007E04FC" w:rsidRDefault="006E7C03" w:rsidP="006E7C03">
      <w:pPr>
        <w:spacing w:after="0"/>
        <w:rPr>
          <w:color w:val="FF0000"/>
          <w:sz w:val="18"/>
          <w:szCs w:val="18"/>
        </w:rPr>
      </w:pPr>
      <w:r w:rsidRPr="007E04FC">
        <w:rPr>
          <w:color w:val="FF0000"/>
          <w:sz w:val="18"/>
          <w:szCs w:val="18"/>
        </w:rPr>
        <w:t>FCO/CIA</w:t>
      </w:r>
      <w:r w:rsidRPr="007E04FC">
        <w:rPr>
          <w:color w:val="FF0000"/>
          <w:sz w:val="18"/>
          <w:szCs w:val="18"/>
        </w:rPr>
        <w:tab/>
        <w:t>(208 + 22) =</w:t>
      </w:r>
      <w:r w:rsidRPr="007E04FC">
        <w:rPr>
          <w:color w:val="FF0000"/>
          <w:sz w:val="18"/>
          <w:szCs w:val="18"/>
        </w:rPr>
        <w:tab/>
        <w:t>230 mila movimenti</w:t>
      </w:r>
    </w:p>
    <w:p w14:paraId="4669E968" w14:textId="77777777" w:rsidR="006E7C03" w:rsidRDefault="006E7C03" w:rsidP="006E7C03">
      <w:pPr>
        <w:spacing w:after="0"/>
        <w:rPr>
          <w:sz w:val="18"/>
          <w:szCs w:val="18"/>
        </w:rPr>
      </w:pPr>
      <w:r>
        <w:rPr>
          <w:sz w:val="18"/>
          <w:szCs w:val="18"/>
        </w:rPr>
        <w:t>MXP/</w:t>
      </w:r>
      <w:proofErr w:type="gramStart"/>
      <w:r>
        <w:rPr>
          <w:sz w:val="18"/>
          <w:szCs w:val="18"/>
        </w:rPr>
        <w:t>LIN  (</w:t>
      </w:r>
      <w:proofErr w:type="gramEnd"/>
      <w:r>
        <w:rPr>
          <w:sz w:val="18"/>
          <w:szCs w:val="18"/>
        </w:rPr>
        <w:t>177+75)  =</w:t>
      </w:r>
      <w:r>
        <w:rPr>
          <w:sz w:val="18"/>
          <w:szCs w:val="18"/>
        </w:rPr>
        <w:tab/>
        <w:t>252 mila movimenti</w:t>
      </w:r>
    </w:p>
    <w:p w14:paraId="682C1598" w14:textId="77777777" w:rsidR="006E7C03" w:rsidRDefault="006E7C03" w:rsidP="006E7C03">
      <w:pPr>
        <w:spacing w:after="0"/>
        <w:rPr>
          <w:sz w:val="18"/>
          <w:szCs w:val="18"/>
        </w:rPr>
      </w:pPr>
      <w:r>
        <w:rPr>
          <w:sz w:val="18"/>
          <w:szCs w:val="18"/>
        </w:rPr>
        <w:t>BGY</w:t>
      </w:r>
      <w:proofErr w:type="gramStart"/>
      <w:r>
        <w:rPr>
          <w:sz w:val="18"/>
          <w:szCs w:val="18"/>
        </w:rPr>
        <w:t xml:space="preserve">   (</w:t>
      </w:r>
      <w:proofErr w:type="gramEnd"/>
      <w:r>
        <w:rPr>
          <w:sz w:val="18"/>
          <w:szCs w:val="18"/>
        </w:rPr>
        <w:t>85)</w:t>
      </w:r>
    </w:p>
    <w:p w14:paraId="7E4547C0" w14:textId="77777777" w:rsidR="006E7C03" w:rsidRPr="00FE1F1D" w:rsidRDefault="006E7C03" w:rsidP="006E7C03">
      <w:pPr>
        <w:spacing w:after="0"/>
        <w:rPr>
          <w:color w:val="FF0000"/>
          <w:sz w:val="18"/>
          <w:szCs w:val="18"/>
        </w:rPr>
      </w:pPr>
      <w:r w:rsidRPr="00FE1F1D">
        <w:rPr>
          <w:color w:val="FF0000"/>
          <w:sz w:val="18"/>
          <w:szCs w:val="18"/>
        </w:rPr>
        <w:t>MXP/LIN/BGY =</w:t>
      </w:r>
      <w:r w:rsidRPr="00FE1F1D">
        <w:rPr>
          <w:color w:val="FF0000"/>
          <w:sz w:val="18"/>
          <w:szCs w:val="18"/>
        </w:rPr>
        <w:tab/>
      </w:r>
      <w:r w:rsidRPr="00FE1F1D">
        <w:rPr>
          <w:color w:val="FF0000"/>
          <w:sz w:val="18"/>
          <w:szCs w:val="18"/>
        </w:rPr>
        <w:tab/>
        <w:t>337 mila movimenti</w:t>
      </w:r>
    </w:p>
    <w:p w14:paraId="42DE814B" w14:textId="77777777" w:rsidR="006E7C03" w:rsidRDefault="006E7C03" w:rsidP="006E7C03">
      <w:pPr>
        <w:spacing w:after="0"/>
        <w:rPr>
          <w:sz w:val="18"/>
          <w:szCs w:val="18"/>
        </w:rPr>
      </w:pPr>
    </w:p>
    <w:p w14:paraId="6D12ED7D" w14:textId="77777777" w:rsidR="006E7C03" w:rsidRDefault="006E7C03" w:rsidP="006E7C03">
      <w:pPr>
        <w:spacing w:after="0"/>
      </w:pPr>
      <w:r w:rsidRPr="00BB3FF7">
        <w:t>Essendo il traffico aeroportuale basato sul concetto di “catchment area” appare del tutto evidente come il polo lombardo debb</w:t>
      </w:r>
      <w:r>
        <w:t>a</w:t>
      </w:r>
      <w:r w:rsidRPr="00BB3FF7">
        <w:t xml:space="preserve"> venir considerato il </w:t>
      </w:r>
      <w:proofErr w:type="gramStart"/>
      <w:r w:rsidRPr="00BB3FF7">
        <w:t xml:space="preserve">primo  </w:t>
      </w:r>
      <w:r>
        <w:t>centro</w:t>
      </w:r>
      <w:proofErr w:type="gramEnd"/>
      <w:r w:rsidRPr="00BB3FF7">
        <w:t xml:space="preserve"> di traffico aereo italiano.</w:t>
      </w:r>
      <w:r>
        <w:t xml:space="preserve"> Ricordiamo che lo scalo di Bergamo si trova a soli 54 km dalla città di Milano.</w:t>
      </w:r>
    </w:p>
    <w:p w14:paraId="0A2DCD0C" w14:textId="77777777" w:rsidR="006E7C03" w:rsidRDefault="006E7C03" w:rsidP="006E7C03">
      <w:pPr>
        <w:spacing w:after="0"/>
        <w:rPr>
          <w:i/>
          <w:iCs/>
        </w:rPr>
      </w:pPr>
      <w:r>
        <w:t xml:space="preserve">Passiamo ora alle note dolenti. Come è andato il 2022 ai vettori italiani? E come si pongono essi nei confronti dei vettori stranieri? In un nostro precedente intervento </w:t>
      </w:r>
      <w:r w:rsidRPr="00D14146">
        <w:rPr>
          <w:color w:val="FF0000"/>
          <w:sz w:val="16"/>
          <w:szCs w:val="16"/>
        </w:rPr>
        <w:t>(</w:t>
      </w:r>
      <w:r>
        <w:rPr>
          <w:color w:val="FF0000"/>
          <w:sz w:val="16"/>
          <w:szCs w:val="16"/>
        </w:rPr>
        <w:t>4</w:t>
      </w:r>
      <w:r w:rsidRPr="00D14146">
        <w:rPr>
          <w:color w:val="FF0000"/>
          <w:sz w:val="16"/>
          <w:szCs w:val="16"/>
        </w:rPr>
        <w:t>)</w:t>
      </w:r>
      <w:r w:rsidRPr="00D14146">
        <w:rPr>
          <w:color w:val="FF0000"/>
        </w:rPr>
        <w:t xml:space="preserve"> </w:t>
      </w:r>
      <w:r>
        <w:t>avevamo fatto notare che “</w:t>
      </w:r>
      <w:r w:rsidRPr="00D14146">
        <w:rPr>
          <w:i/>
          <w:iCs/>
        </w:rPr>
        <w:t xml:space="preserve">I due </w:t>
      </w:r>
      <w:proofErr w:type="gramStart"/>
      <w:r w:rsidRPr="00D14146">
        <w:rPr>
          <w:i/>
          <w:iCs/>
        </w:rPr>
        <w:t>maggiori  sistemi</w:t>
      </w:r>
      <w:proofErr w:type="gramEnd"/>
      <w:r w:rsidRPr="00D14146">
        <w:rPr>
          <w:i/>
          <w:iCs/>
        </w:rPr>
        <w:t xml:space="preserve"> aeroportuali italiani hanno una particolarità unica al mondo:  quella di non poter contare -quale maggiore apporto di traffico- su un consolidato vettore di bandiera nazionale. Ovunque ci si rigiri in </w:t>
      </w:r>
      <w:r w:rsidRPr="00D14146">
        <w:rPr>
          <w:i/>
          <w:iCs/>
        </w:rPr>
        <w:lastRenderedPageBreak/>
        <w:t>Europa (e non solo) uno sguardo agli Annual Reports delle società di gestione aeroportuale mette in chiara evidenza che è sempre il vettore nazionale (quello che una volta veniva denominato “di bandiera”) il numero uno in termini di traffico fornito. Ma da noi le traversie cui ci ha abituato il nostro maggior vettore aereo nazionale hanno creato una situazione davvero unica.</w:t>
      </w:r>
      <w:r>
        <w:rPr>
          <w:i/>
          <w:iCs/>
        </w:rPr>
        <w:t>”</w:t>
      </w:r>
    </w:p>
    <w:p w14:paraId="1A2009EC" w14:textId="77777777" w:rsidR="006E7C03" w:rsidRDefault="006E7C03" w:rsidP="006E7C03">
      <w:pPr>
        <w:spacing w:after="0"/>
      </w:pPr>
      <w:r>
        <w:t xml:space="preserve">E in effetti le tabelle dell’Enac confermano in pieno una tale realtà. Ryanair è il primo vettore per </w:t>
      </w:r>
      <w:r w:rsidRPr="0063638A">
        <w:rPr>
          <w:b/>
          <w:bCs/>
        </w:rPr>
        <w:t>numero passeggeri</w:t>
      </w:r>
      <w:r>
        <w:t xml:space="preserve"> movimentati nei nostri aeroporti, Italia Trasporto Aereo Spa (ITA Airways) è infatti al quarto posto. Questa la graduatoria delle prime 10 posizioni:</w:t>
      </w:r>
    </w:p>
    <w:p w14:paraId="5A295DED" w14:textId="77777777" w:rsidR="006E7C03" w:rsidRDefault="006E7C03" w:rsidP="006E7C03">
      <w:pPr>
        <w:spacing w:after="0"/>
      </w:pPr>
    </w:p>
    <w:p w14:paraId="000539F9" w14:textId="77777777" w:rsidR="006E7C03" w:rsidRDefault="006E7C03" w:rsidP="006E7C03">
      <w:pPr>
        <w:pStyle w:val="Paragrafoelenco"/>
        <w:numPr>
          <w:ilvl w:val="0"/>
          <w:numId w:val="7"/>
        </w:numPr>
        <w:spacing w:after="0" w:line="259" w:lineRule="auto"/>
        <w:rPr>
          <w:sz w:val="18"/>
          <w:szCs w:val="18"/>
        </w:rPr>
      </w:pPr>
      <w:r>
        <w:rPr>
          <w:sz w:val="18"/>
          <w:szCs w:val="18"/>
        </w:rPr>
        <w:t>Ryanair</w:t>
      </w:r>
      <w:r>
        <w:rPr>
          <w:sz w:val="18"/>
          <w:szCs w:val="18"/>
        </w:rPr>
        <w:tab/>
      </w:r>
      <w:r>
        <w:rPr>
          <w:sz w:val="18"/>
          <w:szCs w:val="18"/>
        </w:rPr>
        <w:tab/>
        <w:t>45.683.000</w:t>
      </w:r>
    </w:p>
    <w:p w14:paraId="638DB602" w14:textId="77777777" w:rsidR="006E7C03" w:rsidRDefault="006E7C03" w:rsidP="006E7C03">
      <w:pPr>
        <w:pStyle w:val="Paragrafoelenco"/>
        <w:numPr>
          <w:ilvl w:val="0"/>
          <w:numId w:val="7"/>
        </w:numPr>
        <w:spacing w:after="0" w:line="259" w:lineRule="auto"/>
        <w:rPr>
          <w:sz w:val="18"/>
          <w:szCs w:val="18"/>
        </w:rPr>
      </w:pPr>
      <w:r>
        <w:rPr>
          <w:sz w:val="18"/>
          <w:szCs w:val="18"/>
        </w:rPr>
        <w:t>Wizz Air</w:t>
      </w:r>
      <w:r>
        <w:rPr>
          <w:sz w:val="18"/>
          <w:szCs w:val="18"/>
        </w:rPr>
        <w:tab/>
      </w:r>
      <w:r>
        <w:rPr>
          <w:sz w:val="18"/>
          <w:szCs w:val="18"/>
        </w:rPr>
        <w:tab/>
        <w:t>11.534.000</w:t>
      </w:r>
    </w:p>
    <w:p w14:paraId="4E8C5F8A" w14:textId="77777777" w:rsidR="006E7C03" w:rsidRDefault="006E7C03" w:rsidP="006E7C03">
      <w:pPr>
        <w:pStyle w:val="Paragrafoelenco"/>
        <w:numPr>
          <w:ilvl w:val="0"/>
          <w:numId w:val="7"/>
        </w:numPr>
        <w:spacing w:after="0" w:line="259" w:lineRule="auto"/>
        <w:rPr>
          <w:sz w:val="18"/>
          <w:szCs w:val="18"/>
        </w:rPr>
      </w:pPr>
      <w:r>
        <w:rPr>
          <w:sz w:val="18"/>
          <w:szCs w:val="18"/>
        </w:rPr>
        <w:t>Easyjet Europe</w:t>
      </w:r>
      <w:r>
        <w:rPr>
          <w:sz w:val="18"/>
          <w:szCs w:val="18"/>
        </w:rPr>
        <w:tab/>
        <w:t>11.066.000</w:t>
      </w:r>
    </w:p>
    <w:p w14:paraId="7A3A1FA6" w14:textId="77777777" w:rsidR="006E7C03" w:rsidRDefault="006E7C03" w:rsidP="006E7C03">
      <w:pPr>
        <w:pStyle w:val="Paragrafoelenco"/>
        <w:numPr>
          <w:ilvl w:val="0"/>
          <w:numId w:val="7"/>
        </w:numPr>
        <w:spacing w:after="0" w:line="259" w:lineRule="auto"/>
        <w:rPr>
          <w:sz w:val="18"/>
          <w:szCs w:val="18"/>
        </w:rPr>
      </w:pPr>
      <w:r>
        <w:rPr>
          <w:sz w:val="18"/>
          <w:szCs w:val="18"/>
        </w:rPr>
        <w:t>ITA</w:t>
      </w:r>
      <w:r>
        <w:rPr>
          <w:sz w:val="18"/>
          <w:szCs w:val="18"/>
        </w:rPr>
        <w:tab/>
      </w:r>
      <w:r>
        <w:rPr>
          <w:sz w:val="18"/>
          <w:szCs w:val="18"/>
        </w:rPr>
        <w:tab/>
        <w:t>10.331.000</w:t>
      </w:r>
    </w:p>
    <w:p w14:paraId="22DD2070" w14:textId="77777777" w:rsidR="006E7C03" w:rsidRDefault="006E7C03" w:rsidP="006E7C03">
      <w:pPr>
        <w:pStyle w:val="Paragrafoelenco"/>
        <w:numPr>
          <w:ilvl w:val="0"/>
          <w:numId w:val="7"/>
        </w:numPr>
        <w:spacing w:after="0" w:line="259" w:lineRule="auto"/>
        <w:rPr>
          <w:sz w:val="18"/>
          <w:szCs w:val="18"/>
        </w:rPr>
      </w:pPr>
      <w:r>
        <w:rPr>
          <w:sz w:val="18"/>
          <w:szCs w:val="18"/>
        </w:rPr>
        <w:t>Vueling</w:t>
      </w:r>
      <w:r>
        <w:rPr>
          <w:sz w:val="18"/>
          <w:szCs w:val="18"/>
        </w:rPr>
        <w:tab/>
      </w:r>
      <w:r>
        <w:rPr>
          <w:sz w:val="18"/>
          <w:szCs w:val="18"/>
        </w:rPr>
        <w:tab/>
        <w:t xml:space="preserve"> 4.422.000</w:t>
      </w:r>
    </w:p>
    <w:p w14:paraId="1832295A" w14:textId="77777777" w:rsidR="006E7C03" w:rsidRDefault="006E7C03" w:rsidP="006E7C03">
      <w:pPr>
        <w:pStyle w:val="Paragrafoelenco"/>
        <w:numPr>
          <w:ilvl w:val="0"/>
          <w:numId w:val="7"/>
        </w:numPr>
        <w:spacing w:after="0" w:line="259" w:lineRule="auto"/>
        <w:rPr>
          <w:sz w:val="18"/>
          <w:szCs w:val="18"/>
        </w:rPr>
      </w:pPr>
      <w:r>
        <w:rPr>
          <w:sz w:val="18"/>
          <w:szCs w:val="18"/>
        </w:rPr>
        <w:t>Volotea</w:t>
      </w:r>
      <w:r>
        <w:rPr>
          <w:sz w:val="18"/>
          <w:szCs w:val="18"/>
        </w:rPr>
        <w:tab/>
      </w:r>
      <w:r>
        <w:rPr>
          <w:sz w:val="18"/>
          <w:szCs w:val="18"/>
        </w:rPr>
        <w:tab/>
        <w:t xml:space="preserve"> 3.814.000</w:t>
      </w:r>
    </w:p>
    <w:p w14:paraId="5769322B" w14:textId="77777777" w:rsidR="006E7C03" w:rsidRDefault="006E7C03" w:rsidP="006E7C03">
      <w:pPr>
        <w:pStyle w:val="Paragrafoelenco"/>
        <w:numPr>
          <w:ilvl w:val="0"/>
          <w:numId w:val="7"/>
        </w:numPr>
        <w:spacing w:after="0" w:line="259" w:lineRule="auto"/>
        <w:rPr>
          <w:sz w:val="18"/>
          <w:szCs w:val="18"/>
        </w:rPr>
      </w:pPr>
      <w:r>
        <w:rPr>
          <w:sz w:val="18"/>
          <w:szCs w:val="18"/>
        </w:rPr>
        <w:t>Lufthansa</w:t>
      </w:r>
      <w:r>
        <w:rPr>
          <w:sz w:val="18"/>
          <w:szCs w:val="18"/>
        </w:rPr>
        <w:tab/>
        <w:t xml:space="preserve"> 3.115.000</w:t>
      </w:r>
    </w:p>
    <w:p w14:paraId="79B6789B" w14:textId="77777777" w:rsidR="006E7C03" w:rsidRDefault="006E7C03" w:rsidP="006E7C03">
      <w:pPr>
        <w:pStyle w:val="Paragrafoelenco"/>
        <w:numPr>
          <w:ilvl w:val="0"/>
          <w:numId w:val="7"/>
        </w:numPr>
        <w:spacing w:after="0" w:line="259" w:lineRule="auto"/>
        <w:rPr>
          <w:sz w:val="18"/>
          <w:szCs w:val="18"/>
        </w:rPr>
      </w:pPr>
      <w:r>
        <w:rPr>
          <w:sz w:val="18"/>
          <w:szCs w:val="18"/>
        </w:rPr>
        <w:t>Air France</w:t>
      </w:r>
      <w:r>
        <w:rPr>
          <w:sz w:val="18"/>
          <w:szCs w:val="18"/>
        </w:rPr>
        <w:tab/>
        <w:t xml:space="preserve"> 2.637.000</w:t>
      </w:r>
    </w:p>
    <w:p w14:paraId="683DBC1B" w14:textId="77777777" w:rsidR="006E7C03" w:rsidRDefault="006E7C03" w:rsidP="006E7C03">
      <w:pPr>
        <w:pStyle w:val="Paragrafoelenco"/>
        <w:numPr>
          <w:ilvl w:val="0"/>
          <w:numId w:val="7"/>
        </w:numPr>
        <w:spacing w:after="0" w:line="259" w:lineRule="auto"/>
        <w:rPr>
          <w:sz w:val="18"/>
          <w:szCs w:val="18"/>
        </w:rPr>
      </w:pPr>
      <w:r>
        <w:rPr>
          <w:sz w:val="18"/>
          <w:szCs w:val="18"/>
        </w:rPr>
        <w:t>Malta Air</w:t>
      </w:r>
      <w:r>
        <w:rPr>
          <w:sz w:val="18"/>
          <w:szCs w:val="18"/>
        </w:rPr>
        <w:tab/>
      </w:r>
      <w:r>
        <w:rPr>
          <w:sz w:val="18"/>
          <w:szCs w:val="18"/>
        </w:rPr>
        <w:tab/>
        <w:t xml:space="preserve"> 2.543.000</w:t>
      </w:r>
    </w:p>
    <w:p w14:paraId="236643EF" w14:textId="77777777" w:rsidR="006E7C03" w:rsidRDefault="006E7C03" w:rsidP="006E7C03">
      <w:pPr>
        <w:pStyle w:val="Paragrafoelenco"/>
        <w:numPr>
          <w:ilvl w:val="0"/>
          <w:numId w:val="7"/>
        </w:numPr>
        <w:spacing w:after="0" w:line="259" w:lineRule="auto"/>
        <w:rPr>
          <w:sz w:val="18"/>
          <w:szCs w:val="18"/>
        </w:rPr>
      </w:pPr>
      <w:r>
        <w:rPr>
          <w:sz w:val="18"/>
          <w:szCs w:val="18"/>
        </w:rPr>
        <w:t>British Airways</w:t>
      </w:r>
      <w:r>
        <w:rPr>
          <w:sz w:val="18"/>
          <w:szCs w:val="18"/>
        </w:rPr>
        <w:tab/>
        <w:t xml:space="preserve"> 2.365.000</w:t>
      </w:r>
    </w:p>
    <w:p w14:paraId="2548DF6C" w14:textId="77777777" w:rsidR="006E7C03" w:rsidRDefault="006E7C03" w:rsidP="006E7C03">
      <w:pPr>
        <w:spacing w:after="0"/>
        <w:rPr>
          <w:sz w:val="18"/>
          <w:szCs w:val="18"/>
        </w:rPr>
      </w:pPr>
    </w:p>
    <w:p w14:paraId="77B00387" w14:textId="77777777" w:rsidR="006E7C03" w:rsidRDefault="006E7C03" w:rsidP="006E7C03">
      <w:pPr>
        <w:spacing w:after="0"/>
      </w:pPr>
      <w:r>
        <w:t xml:space="preserve">Al 13simo posto troviamo la NEOS (1.567.000), al 16simo la Air Dolomiti (1.388.000), all’81simo posto troviamo la AeroItalia (66.000) e questo è tutto nell’ambito delle prime 100 compagnie elencate. </w:t>
      </w:r>
      <w:r w:rsidRPr="00BA7AA2">
        <w:rPr>
          <w:color w:val="FF0000"/>
          <w:sz w:val="16"/>
          <w:szCs w:val="16"/>
        </w:rPr>
        <w:t>(5)</w:t>
      </w:r>
      <w:r w:rsidRPr="00BA7AA2">
        <w:rPr>
          <w:color w:val="FF0000"/>
        </w:rPr>
        <w:t xml:space="preserve"> </w:t>
      </w:r>
      <w:r>
        <w:t xml:space="preserve">Facciamo notare come la sommatoria dei quattro vettori italiani riportati nella graduatoria non arrivi a toccare nemmeno la metà del numero passeggeri trasportati dalla sola Ryanair, la quale quindi può essere ad ogni diritto considerata </w:t>
      </w:r>
      <w:r w:rsidRPr="00C960F2">
        <w:rPr>
          <w:u w:val="single"/>
        </w:rPr>
        <w:t>la prima compagnia aerea sul mercato</w:t>
      </w:r>
      <w:r>
        <w:rPr>
          <w:u w:val="single"/>
        </w:rPr>
        <w:t xml:space="preserve"> </w:t>
      </w:r>
      <w:r w:rsidRPr="00C960F2">
        <w:rPr>
          <w:u w:val="single"/>
        </w:rPr>
        <w:t>italiano</w:t>
      </w:r>
      <w:r>
        <w:t>. Valutando tali numeri si tenga presente che ITA aveva iniziato le operazioni il 15 ottobre 2021 e quindi ha operato in tutti i 12 mesi del 2022.</w:t>
      </w:r>
    </w:p>
    <w:p w14:paraId="36845551" w14:textId="77777777" w:rsidR="006E7C03" w:rsidRDefault="006E7C03" w:rsidP="006E7C03">
      <w:pPr>
        <w:spacing w:after="0"/>
      </w:pPr>
      <w:r>
        <w:t xml:space="preserve">Un particolare discorso va fatto per le “controllate” di Easyjet e di Ryanair. Per quanto riguarda la compagnia britannica, essa compare nella lista con altre due sue controllate: la Easyjet UK (2.149.000) e la Easyjet Switzerland (26simo posto, 926.000 passeggeri) raggiungendo quindi un totale complessivo di 14 milioni di passeggeri e ponendosi di fatto al secondo posto.  Per quanto riguarda invece le controllate di Ryanair </w:t>
      </w:r>
      <w:r w:rsidRPr="00527B4D">
        <w:rPr>
          <w:color w:val="FF0000"/>
          <w:sz w:val="16"/>
          <w:szCs w:val="16"/>
        </w:rPr>
        <w:t>(6)</w:t>
      </w:r>
      <w:r w:rsidRPr="00527B4D">
        <w:rPr>
          <w:color w:val="FF0000"/>
        </w:rPr>
        <w:t xml:space="preserve"> </w:t>
      </w:r>
      <w:r>
        <w:t>troviamo al nono posto la Malta Air (2.543.000) e la Ryanair UK (52simo posto, 182.000 passeggeri). Sommandole alla capogruppo Ryanair questa si avvicina ai 49 milioni di passeggeri.</w:t>
      </w:r>
    </w:p>
    <w:p w14:paraId="0DC9E742" w14:textId="77777777" w:rsidR="006E7C03" w:rsidRDefault="006E7C03" w:rsidP="006E7C03">
      <w:pPr>
        <w:spacing w:after="0"/>
      </w:pPr>
    </w:p>
    <w:p w14:paraId="15B998DC" w14:textId="77777777" w:rsidR="006E7C03" w:rsidRDefault="006E7C03" w:rsidP="006E7C03">
      <w:pPr>
        <w:spacing w:after="0"/>
      </w:pPr>
      <w:r>
        <w:t>La situazione non cambia sul fronte del traffico domestico. Anche qui Ryanair si conferma al primo posto superando la ITA. A sinistra pubblichiamo la tabella 2022, a destra si può osservare quella del 2019 ove Alitalia poteva ancora vantare il titolo di primo vettore in Italia per il traffico nazionale. Anche questo titolo ora è passato al vettore irlandese.</w:t>
      </w:r>
    </w:p>
    <w:p w14:paraId="0C29E726" w14:textId="77777777" w:rsidR="006E7C03" w:rsidRDefault="006E7C03" w:rsidP="006E7C03">
      <w:pPr>
        <w:spacing w:after="0"/>
      </w:pPr>
      <w:r w:rsidRPr="00967B69">
        <w:rPr>
          <w:noProof/>
          <w:bdr w:val="single" w:sz="18" w:space="0" w:color="auto"/>
        </w:rPr>
        <w:drawing>
          <wp:inline distT="0" distB="0" distL="0" distR="0" wp14:anchorId="2436BBBD" wp14:editId="62CD0E76">
            <wp:extent cx="2044800" cy="1584000"/>
            <wp:effectExtent l="0" t="0" r="0" b="0"/>
            <wp:docPr id="178556750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67509" name="Immagine 178556750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4800" cy="1584000"/>
                    </a:xfrm>
                    <a:prstGeom prst="rect">
                      <a:avLst/>
                    </a:prstGeom>
                  </pic:spPr>
                </pic:pic>
              </a:graphicData>
            </a:graphic>
          </wp:inline>
        </w:drawing>
      </w:r>
      <w:r>
        <w:t xml:space="preserve">  </w:t>
      </w:r>
      <w:r w:rsidRPr="00E42766">
        <w:rPr>
          <w:noProof/>
          <w:bdr w:val="single" w:sz="18" w:space="0" w:color="auto"/>
        </w:rPr>
        <w:drawing>
          <wp:inline distT="0" distB="0" distL="0" distR="0" wp14:anchorId="6FB0A5AC" wp14:editId="66D0AB65">
            <wp:extent cx="2347200" cy="1594800"/>
            <wp:effectExtent l="0" t="0" r="0" b="5715"/>
            <wp:docPr id="8442422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4221" name="Immagine 844242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7200" cy="1594800"/>
                    </a:xfrm>
                    <a:prstGeom prst="rect">
                      <a:avLst/>
                    </a:prstGeom>
                  </pic:spPr>
                </pic:pic>
              </a:graphicData>
            </a:graphic>
          </wp:inline>
        </w:drawing>
      </w:r>
    </w:p>
    <w:p w14:paraId="3E954B43" w14:textId="77777777" w:rsidR="006E7C03" w:rsidRPr="00D76E59" w:rsidRDefault="006E7C03" w:rsidP="006E7C03">
      <w:pPr>
        <w:spacing w:after="0"/>
        <w:rPr>
          <w:i/>
          <w:iCs/>
          <w:sz w:val="18"/>
          <w:szCs w:val="18"/>
        </w:rPr>
      </w:pPr>
      <w:r>
        <w:rPr>
          <w:i/>
          <w:iCs/>
          <w:sz w:val="18"/>
          <w:szCs w:val="18"/>
        </w:rPr>
        <w:t>2022</w:t>
      </w:r>
      <w:r>
        <w:rPr>
          <w:i/>
          <w:iCs/>
          <w:sz w:val="18"/>
          <w:szCs w:val="18"/>
        </w:rPr>
        <w:tab/>
      </w:r>
      <w:r>
        <w:rPr>
          <w:i/>
          <w:iCs/>
          <w:sz w:val="18"/>
          <w:szCs w:val="18"/>
        </w:rPr>
        <w:tab/>
      </w:r>
      <w:r>
        <w:rPr>
          <w:i/>
          <w:iCs/>
          <w:sz w:val="18"/>
          <w:szCs w:val="18"/>
        </w:rPr>
        <w:tab/>
      </w:r>
      <w:r>
        <w:rPr>
          <w:i/>
          <w:iCs/>
          <w:sz w:val="18"/>
          <w:szCs w:val="18"/>
        </w:rPr>
        <w:tab/>
      </w:r>
      <w:r>
        <w:rPr>
          <w:i/>
          <w:iCs/>
          <w:sz w:val="18"/>
          <w:szCs w:val="18"/>
        </w:rPr>
        <w:tab/>
        <w:t>2019</w:t>
      </w:r>
    </w:p>
    <w:p w14:paraId="0075147F" w14:textId="77777777" w:rsidR="006E7C03" w:rsidRDefault="006E7C03" w:rsidP="006E7C03">
      <w:pPr>
        <w:spacing w:after="0"/>
      </w:pPr>
    </w:p>
    <w:p w14:paraId="642F0F6C" w14:textId="0BC455B9" w:rsidR="006E7C03" w:rsidRDefault="006E7C03" w:rsidP="006E7C03">
      <w:pPr>
        <w:spacing w:after="0"/>
      </w:pPr>
      <w:r>
        <w:t xml:space="preserve"> Altro interessante dato a disposizione nel rapporto è costituito dalle </w:t>
      </w:r>
      <w:r w:rsidRPr="00235E46">
        <w:rPr>
          <w:b/>
          <w:bCs/>
        </w:rPr>
        <w:t>direttrici di traffico</w:t>
      </w:r>
      <w:r>
        <w:t xml:space="preserve">. Analizzando il traffico europeo questa la graduatoria passeggeri (prime dieci posizioni) per Paese di origine/destinazione </w:t>
      </w:r>
      <w:r w:rsidRPr="00527B4D">
        <w:rPr>
          <w:color w:val="FF0000"/>
          <w:sz w:val="16"/>
          <w:szCs w:val="16"/>
        </w:rPr>
        <w:t>(</w:t>
      </w:r>
      <w:r>
        <w:rPr>
          <w:color w:val="FF0000"/>
          <w:sz w:val="16"/>
          <w:szCs w:val="16"/>
        </w:rPr>
        <w:t>7</w:t>
      </w:r>
      <w:r w:rsidRPr="00527B4D">
        <w:rPr>
          <w:color w:val="FF0000"/>
          <w:sz w:val="16"/>
          <w:szCs w:val="16"/>
        </w:rPr>
        <w:t>)</w:t>
      </w:r>
    </w:p>
    <w:p w14:paraId="7C6F7F41" w14:textId="77777777" w:rsidR="006E7C03" w:rsidRDefault="006E7C03" w:rsidP="006E7C03">
      <w:pPr>
        <w:spacing w:after="0"/>
        <w:rPr>
          <w:sz w:val="18"/>
          <w:szCs w:val="18"/>
        </w:rPr>
      </w:pPr>
      <w:r w:rsidRPr="00527B4D">
        <w:rPr>
          <w:sz w:val="18"/>
          <w:szCs w:val="18"/>
        </w:rPr>
        <w:lastRenderedPageBreak/>
        <w:t>Spagna</w:t>
      </w:r>
      <w:r w:rsidRPr="00527B4D">
        <w:rPr>
          <w:sz w:val="18"/>
          <w:szCs w:val="18"/>
        </w:rPr>
        <w:tab/>
      </w:r>
      <w:r>
        <w:rPr>
          <w:sz w:val="18"/>
          <w:szCs w:val="18"/>
        </w:rPr>
        <w:tab/>
        <w:t>14.191.000</w:t>
      </w:r>
    </w:p>
    <w:p w14:paraId="5C71E10A" w14:textId="77777777" w:rsidR="006E7C03" w:rsidRDefault="006E7C03" w:rsidP="006E7C03">
      <w:pPr>
        <w:spacing w:after="0"/>
        <w:rPr>
          <w:sz w:val="18"/>
          <w:szCs w:val="18"/>
        </w:rPr>
      </w:pPr>
      <w:r>
        <w:rPr>
          <w:sz w:val="18"/>
          <w:szCs w:val="18"/>
        </w:rPr>
        <w:t>Regno Unito</w:t>
      </w:r>
      <w:r>
        <w:rPr>
          <w:sz w:val="18"/>
          <w:szCs w:val="18"/>
        </w:rPr>
        <w:tab/>
        <w:t>11.870.000</w:t>
      </w:r>
    </w:p>
    <w:p w14:paraId="17D3235D" w14:textId="77777777" w:rsidR="006E7C03" w:rsidRDefault="006E7C03" w:rsidP="006E7C03">
      <w:pPr>
        <w:spacing w:after="0"/>
        <w:rPr>
          <w:sz w:val="18"/>
          <w:szCs w:val="18"/>
        </w:rPr>
      </w:pPr>
      <w:r>
        <w:rPr>
          <w:sz w:val="18"/>
          <w:szCs w:val="18"/>
        </w:rPr>
        <w:t>Francia</w:t>
      </w:r>
      <w:r>
        <w:rPr>
          <w:sz w:val="18"/>
          <w:szCs w:val="18"/>
        </w:rPr>
        <w:tab/>
      </w:r>
      <w:r>
        <w:rPr>
          <w:sz w:val="18"/>
          <w:szCs w:val="18"/>
        </w:rPr>
        <w:tab/>
        <w:t>10.273.000</w:t>
      </w:r>
    </w:p>
    <w:p w14:paraId="1A005B63" w14:textId="77777777" w:rsidR="006E7C03" w:rsidRDefault="006E7C03" w:rsidP="006E7C03">
      <w:pPr>
        <w:spacing w:after="0"/>
        <w:rPr>
          <w:sz w:val="18"/>
          <w:szCs w:val="18"/>
        </w:rPr>
      </w:pPr>
      <w:r>
        <w:rPr>
          <w:sz w:val="18"/>
          <w:szCs w:val="18"/>
        </w:rPr>
        <w:t>Germania</w:t>
      </w:r>
      <w:r>
        <w:rPr>
          <w:sz w:val="18"/>
          <w:szCs w:val="18"/>
        </w:rPr>
        <w:tab/>
        <w:t xml:space="preserve"> 9.775.000</w:t>
      </w:r>
    </w:p>
    <w:p w14:paraId="1ABEAC13" w14:textId="77777777" w:rsidR="006E7C03" w:rsidRDefault="006E7C03" w:rsidP="006E7C03">
      <w:pPr>
        <w:spacing w:after="0"/>
        <w:rPr>
          <w:sz w:val="18"/>
          <w:szCs w:val="18"/>
        </w:rPr>
      </w:pPr>
      <w:r>
        <w:rPr>
          <w:sz w:val="18"/>
          <w:szCs w:val="18"/>
        </w:rPr>
        <w:t>Olanda</w:t>
      </w:r>
      <w:r>
        <w:rPr>
          <w:sz w:val="18"/>
          <w:szCs w:val="18"/>
        </w:rPr>
        <w:tab/>
      </w:r>
      <w:r>
        <w:rPr>
          <w:sz w:val="18"/>
          <w:szCs w:val="18"/>
        </w:rPr>
        <w:tab/>
        <w:t xml:space="preserve"> 4.042.000</w:t>
      </w:r>
    </w:p>
    <w:p w14:paraId="1FDC16D7" w14:textId="77777777" w:rsidR="006E7C03" w:rsidRDefault="006E7C03" w:rsidP="006E7C03">
      <w:pPr>
        <w:spacing w:after="0"/>
        <w:rPr>
          <w:sz w:val="18"/>
          <w:szCs w:val="18"/>
        </w:rPr>
      </w:pPr>
      <w:r>
        <w:rPr>
          <w:sz w:val="18"/>
          <w:szCs w:val="18"/>
        </w:rPr>
        <w:t xml:space="preserve">Grecia </w:t>
      </w:r>
      <w:r>
        <w:rPr>
          <w:sz w:val="18"/>
          <w:szCs w:val="18"/>
        </w:rPr>
        <w:tab/>
      </w:r>
      <w:r>
        <w:rPr>
          <w:sz w:val="18"/>
          <w:szCs w:val="18"/>
        </w:rPr>
        <w:tab/>
        <w:t xml:space="preserve"> 3.889.000</w:t>
      </w:r>
    </w:p>
    <w:p w14:paraId="596509F3" w14:textId="77777777" w:rsidR="006E7C03" w:rsidRDefault="006E7C03" w:rsidP="006E7C03">
      <w:pPr>
        <w:spacing w:after="0"/>
        <w:rPr>
          <w:sz w:val="18"/>
          <w:szCs w:val="18"/>
        </w:rPr>
      </w:pPr>
      <w:r>
        <w:rPr>
          <w:sz w:val="18"/>
          <w:szCs w:val="18"/>
        </w:rPr>
        <w:t>Svizzera</w:t>
      </w:r>
      <w:r>
        <w:rPr>
          <w:sz w:val="18"/>
          <w:szCs w:val="18"/>
        </w:rPr>
        <w:tab/>
      </w:r>
      <w:r>
        <w:rPr>
          <w:sz w:val="18"/>
          <w:szCs w:val="18"/>
        </w:rPr>
        <w:tab/>
        <w:t xml:space="preserve"> 2.544.000</w:t>
      </w:r>
    </w:p>
    <w:p w14:paraId="143B92EF" w14:textId="77777777" w:rsidR="006E7C03" w:rsidRDefault="006E7C03" w:rsidP="006E7C03">
      <w:pPr>
        <w:spacing w:after="0"/>
        <w:rPr>
          <w:sz w:val="18"/>
          <w:szCs w:val="18"/>
        </w:rPr>
      </w:pPr>
      <w:r>
        <w:rPr>
          <w:sz w:val="18"/>
          <w:szCs w:val="18"/>
        </w:rPr>
        <w:t>Albania</w:t>
      </w:r>
      <w:r>
        <w:rPr>
          <w:sz w:val="18"/>
          <w:szCs w:val="18"/>
        </w:rPr>
        <w:tab/>
      </w:r>
      <w:r>
        <w:rPr>
          <w:sz w:val="18"/>
          <w:szCs w:val="18"/>
        </w:rPr>
        <w:tab/>
        <w:t xml:space="preserve"> 2.148.000</w:t>
      </w:r>
    </w:p>
    <w:p w14:paraId="4C80A4A1" w14:textId="77777777" w:rsidR="006E7C03" w:rsidRDefault="006E7C03" w:rsidP="006E7C03">
      <w:pPr>
        <w:spacing w:after="0"/>
        <w:rPr>
          <w:sz w:val="18"/>
          <w:szCs w:val="18"/>
        </w:rPr>
      </w:pPr>
      <w:r>
        <w:rPr>
          <w:sz w:val="18"/>
          <w:szCs w:val="18"/>
        </w:rPr>
        <w:t>Turchia</w:t>
      </w:r>
      <w:r>
        <w:rPr>
          <w:sz w:val="18"/>
          <w:szCs w:val="18"/>
        </w:rPr>
        <w:tab/>
      </w:r>
      <w:r>
        <w:rPr>
          <w:sz w:val="18"/>
          <w:szCs w:val="18"/>
        </w:rPr>
        <w:tab/>
        <w:t xml:space="preserve"> 1.848.000</w:t>
      </w:r>
    </w:p>
    <w:p w14:paraId="7E388B1A" w14:textId="77777777" w:rsidR="006E7C03" w:rsidRDefault="006E7C03" w:rsidP="006E7C03">
      <w:pPr>
        <w:spacing w:after="0"/>
        <w:rPr>
          <w:sz w:val="18"/>
          <w:szCs w:val="18"/>
        </w:rPr>
      </w:pPr>
      <w:r>
        <w:rPr>
          <w:sz w:val="18"/>
          <w:szCs w:val="18"/>
        </w:rPr>
        <w:t>Norvegia</w:t>
      </w:r>
      <w:r>
        <w:rPr>
          <w:sz w:val="18"/>
          <w:szCs w:val="18"/>
        </w:rPr>
        <w:tab/>
      </w:r>
      <w:r>
        <w:rPr>
          <w:sz w:val="18"/>
          <w:szCs w:val="18"/>
        </w:rPr>
        <w:tab/>
        <w:t xml:space="preserve">    500.000</w:t>
      </w:r>
    </w:p>
    <w:p w14:paraId="5A3D63BF" w14:textId="77777777" w:rsidR="006E7C03" w:rsidRDefault="006E7C03" w:rsidP="006E7C03">
      <w:pPr>
        <w:spacing w:after="0"/>
        <w:rPr>
          <w:sz w:val="18"/>
          <w:szCs w:val="18"/>
        </w:rPr>
      </w:pPr>
    </w:p>
    <w:p w14:paraId="0028879C" w14:textId="77777777" w:rsidR="006E7C03" w:rsidRPr="00F8271D" w:rsidRDefault="006E7C03" w:rsidP="006E7C03">
      <w:pPr>
        <w:spacing w:after="0"/>
      </w:pPr>
      <w:r>
        <w:t>Mentre sulle</w:t>
      </w:r>
      <w:r w:rsidRPr="00F8271D">
        <w:t xml:space="preserve"> rotte nazionali</w:t>
      </w:r>
      <w:r>
        <w:t xml:space="preserve"> la Catania-Fiumicino e la Catania-Malpensa si confermano le due rotte </w:t>
      </w:r>
      <w:proofErr w:type="gramStart"/>
      <w:r>
        <w:t>domestiche  più</w:t>
      </w:r>
      <w:proofErr w:type="gramEnd"/>
      <w:r>
        <w:t xml:space="preserve"> gettonate.</w:t>
      </w:r>
    </w:p>
    <w:p w14:paraId="2DE70A65" w14:textId="77777777" w:rsidR="006E7C03" w:rsidRDefault="006E7C03" w:rsidP="006E7C03">
      <w:pPr>
        <w:spacing w:after="0"/>
        <w:rPr>
          <w:sz w:val="18"/>
          <w:szCs w:val="18"/>
        </w:rPr>
      </w:pPr>
    </w:p>
    <w:p w14:paraId="13868A4E" w14:textId="77777777" w:rsidR="006E7C03" w:rsidRDefault="006E7C03" w:rsidP="006E7C03">
      <w:pPr>
        <w:spacing w:after="0"/>
        <w:rPr>
          <w:sz w:val="18"/>
          <w:szCs w:val="18"/>
        </w:rPr>
      </w:pPr>
      <w:r>
        <w:rPr>
          <w:sz w:val="18"/>
          <w:szCs w:val="18"/>
        </w:rPr>
        <w:t>Catania-Fiumicino e vv.</w:t>
      </w:r>
      <w:r>
        <w:rPr>
          <w:sz w:val="18"/>
          <w:szCs w:val="18"/>
        </w:rPr>
        <w:tab/>
        <w:t>1.541.000</w:t>
      </w:r>
    </w:p>
    <w:p w14:paraId="2B748A62" w14:textId="77777777" w:rsidR="006E7C03" w:rsidRDefault="006E7C03" w:rsidP="006E7C03">
      <w:pPr>
        <w:spacing w:after="0"/>
        <w:rPr>
          <w:sz w:val="18"/>
          <w:szCs w:val="18"/>
        </w:rPr>
      </w:pPr>
      <w:r>
        <w:rPr>
          <w:sz w:val="18"/>
          <w:szCs w:val="18"/>
        </w:rPr>
        <w:t>Catania-Malpensa e vv</w:t>
      </w:r>
      <w:r>
        <w:rPr>
          <w:sz w:val="18"/>
          <w:szCs w:val="18"/>
        </w:rPr>
        <w:tab/>
        <w:t>1.256.000</w:t>
      </w:r>
    </w:p>
    <w:p w14:paraId="30EDA659" w14:textId="77777777" w:rsidR="006E7C03" w:rsidRDefault="006E7C03" w:rsidP="006E7C03">
      <w:pPr>
        <w:spacing w:after="0"/>
        <w:rPr>
          <w:sz w:val="18"/>
          <w:szCs w:val="18"/>
        </w:rPr>
      </w:pPr>
      <w:r>
        <w:rPr>
          <w:sz w:val="18"/>
          <w:szCs w:val="18"/>
        </w:rPr>
        <w:t>Palermo-Fiumicino e vv.</w:t>
      </w:r>
      <w:r>
        <w:rPr>
          <w:sz w:val="18"/>
          <w:szCs w:val="18"/>
        </w:rPr>
        <w:tab/>
        <w:t>1.179.000</w:t>
      </w:r>
    </w:p>
    <w:p w14:paraId="28136885" w14:textId="77777777" w:rsidR="006E7C03" w:rsidRDefault="006E7C03" w:rsidP="006E7C03">
      <w:pPr>
        <w:spacing w:after="0"/>
        <w:rPr>
          <w:sz w:val="18"/>
          <w:szCs w:val="18"/>
        </w:rPr>
      </w:pPr>
      <w:r>
        <w:rPr>
          <w:sz w:val="18"/>
          <w:szCs w:val="18"/>
        </w:rPr>
        <w:t>Palermo-Malpensa e vv.</w:t>
      </w:r>
      <w:r>
        <w:rPr>
          <w:sz w:val="18"/>
          <w:szCs w:val="18"/>
        </w:rPr>
        <w:tab/>
        <w:t xml:space="preserve">   985.000</w:t>
      </w:r>
    </w:p>
    <w:p w14:paraId="0B9D7509" w14:textId="77777777" w:rsidR="006E7C03" w:rsidRDefault="006E7C03" w:rsidP="006E7C03">
      <w:pPr>
        <w:spacing w:after="0"/>
        <w:rPr>
          <w:sz w:val="18"/>
          <w:szCs w:val="18"/>
        </w:rPr>
      </w:pPr>
      <w:r>
        <w:rPr>
          <w:sz w:val="18"/>
          <w:szCs w:val="18"/>
        </w:rPr>
        <w:t>Napoli-Malpensa e vv.</w:t>
      </w:r>
      <w:r>
        <w:rPr>
          <w:sz w:val="18"/>
          <w:szCs w:val="18"/>
        </w:rPr>
        <w:tab/>
        <w:t xml:space="preserve">   828.000</w:t>
      </w:r>
    </w:p>
    <w:p w14:paraId="329F8F05" w14:textId="77777777" w:rsidR="006E7C03" w:rsidRPr="00527B4D" w:rsidRDefault="006E7C03" w:rsidP="006E7C03">
      <w:pPr>
        <w:spacing w:after="0"/>
        <w:rPr>
          <w:sz w:val="18"/>
          <w:szCs w:val="18"/>
        </w:rPr>
      </w:pPr>
    </w:p>
    <w:p w14:paraId="2E3E87DD" w14:textId="77777777" w:rsidR="006E7C03" w:rsidRDefault="006E7C03" w:rsidP="006E7C03">
      <w:pPr>
        <w:spacing w:after="0"/>
      </w:pPr>
      <w:r>
        <w:t xml:space="preserve">Analizzando le rotte extra UE si può trovare che la Qatar Airways, ovvero Doha, si trova notevolmnte distanziata dallo UAE (Dubai). E’ noto come queste due destinazioni servano quale hub di transito per numerose </w:t>
      </w:r>
      <w:proofErr w:type="gramStart"/>
      <w:r>
        <w:t>destinazioni  su</w:t>
      </w:r>
      <w:proofErr w:type="gramEnd"/>
      <w:r>
        <w:t xml:space="preserve"> altri continenti. </w:t>
      </w:r>
    </w:p>
    <w:p w14:paraId="2FEEE2FB" w14:textId="77777777" w:rsidR="006E7C03" w:rsidRDefault="006E7C03" w:rsidP="006E7C03">
      <w:pPr>
        <w:spacing w:after="0"/>
      </w:pPr>
    </w:p>
    <w:p w14:paraId="7A868BC6" w14:textId="77777777" w:rsidR="006E7C03" w:rsidRPr="002B60A3" w:rsidRDefault="006E7C03" w:rsidP="006E7C03">
      <w:pPr>
        <w:spacing w:after="0"/>
        <w:rPr>
          <w:color w:val="FF0000"/>
          <w:sz w:val="16"/>
          <w:szCs w:val="16"/>
        </w:rPr>
      </w:pPr>
      <w:r>
        <w:t xml:space="preserve">Area Medio Oriente </w:t>
      </w:r>
      <w:r w:rsidRPr="002A0E49">
        <w:rPr>
          <w:sz w:val="18"/>
          <w:szCs w:val="18"/>
        </w:rPr>
        <w:t>(passeggeri a/p da/per scali italiani)</w:t>
      </w:r>
      <w:r>
        <w:t xml:space="preserve"> </w:t>
      </w:r>
      <w:r w:rsidRPr="002B60A3">
        <w:rPr>
          <w:color w:val="FF0000"/>
          <w:sz w:val="16"/>
          <w:szCs w:val="16"/>
        </w:rPr>
        <w:t>(8)</w:t>
      </w:r>
    </w:p>
    <w:p w14:paraId="16AD2DE8" w14:textId="77777777" w:rsidR="006E7C03" w:rsidRDefault="006E7C03" w:rsidP="006E7C03">
      <w:pPr>
        <w:spacing w:after="0"/>
      </w:pPr>
    </w:p>
    <w:p w14:paraId="0CC6E43E" w14:textId="77777777" w:rsidR="006E7C03" w:rsidRDefault="006E7C03" w:rsidP="006E7C03">
      <w:pPr>
        <w:spacing w:after="0"/>
        <w:rPr>
          <w:sz w:val="18"/>
          <w:szCs w:val="18"/>
        </w:rPr>
      </w:pPr>
      <w:r>
        <w:rPr>
          <w:sz w:val="18"/>
          <w:szCs w:val="18"/>
        </w:rPr>
        <w:t>Emirati Arabi Uniti</w:t>
      </w:r>
      <w:r>
        <w:rPr>
          <w:sz w:val="18"/>
          <w:szCs w:val="18"/>
        </w:rPr>
        <w:tab/>
      </w:r>
      <w:r>
        <w:rPr>
          <w:sz w:val="18"/>
          <w:szCs w:val="18"/>
        </w:rPr>
        <w:tab/>
        <w:t>1.553.000</w:t>
      </w:r>
    </w:p>
    <w:p w14:paraId="452ED286" w14:textId="77777777" w:rsidR="006E7C03" w:rsidRDefault="006E7C03" w:rsidP="006E7C03">
      <w:pPr>
        <w:spacing w:after="0"/>
        <w:rPr>
          <w:sz w:val="18"/>
          <w:szCs w:val="18"/>
        </w:rPr>
      </w:pPr>
      <w:r>
        <w:rPr>
          <w:sz w:val="18"/>
          <w:szCs w:val="18"/>
        </w:rPr>
        <w:t>Israele</w:t>
      </w:r>
      <w:r>
        <w:rPr>
          <w:sz w:val="18"/>
          <w:szCs w:val="18"/>
        </w:rPr>
        <w:tab/>
      </w:r>
      <w:r>
        <w:rPr>
          <w:sz w:val="18"/>
          <w:szCs w:val="18"/>
        </w:rPr>
        <w:tab/>
      </w:r>
      <w:r>
        <w:rPr>
          <w:sz w:val="18"/>
          <w:szCs w:val="18"/>
        </w:rPr>
        <w:tab/>
        <w:t>1.296.000</w:t>
      </w:r>
    </w:p>
    <w:p w14:paraId="304F3AC5" w14:textId="77777777" w:rsidR="006E7C03" w:rsidRDefault="006E7C03" w:rsidP="006E7C03">
      <w:pPr>
        <w:spacing w:after="0"/>
        <w:rPr>
          <w:sz w:val="18"/>
          <w:szCs w:val="18"/>
        </w:rPr>
      </w:pPr>
      <w:r>
        <w:rPr>
          <w:sz w:val="18"/>
          <w:szCs w:val="18"/>
        </w:rPr>
        <w:t>Qatar</w:t>
      </w:r>
      <w:r>
        <w:rPr>
          <w:sz w:val="18"/>
          <w:szCs w:val="18"/>
        </w:rPr>
        <w:tab/>
      </w:r>
      <w:r>
        <w:rPr>
          <w:sz w:val="18"/>
          <w:szCs w:val="18"/>
        </w:rPr>
        <w:tab/>
      </w:r>
      <w:r>
        <w:rPr>
          <w:sz w:val="18"/>
          <w:szCs w:val="18"/>
        </w:rPr>
        <w:tab/>
        <w:t xml:space="preserve">    582.000</w:t>
      </w:r>
    </w:p>
    <w:p w14:paraId="6A8E541B" w14:textId="77777777" w:rsidR="006E7C03" w:rsidRDefault="006E7C03" w:rsidP="006E7C03">
      <w:pPr>
        <w:spacing w:after="0"/>
        <w:rPr>
          <w:sz w:val="18"/>
          <w:szCs w:val="18"/>
        </w:rPr>
      </w:pPr>
      <w:r>
        <w:rPr>
          <w:sz w:val="18"/>
          <w:szCs w:val="18"/>
        </w:rPr>
        <w:t>Giordania</w:t>
      </w:r>
      <w:r>
        <w:rPr>
          <w:sz w:val="18"/>
          <w:szCs w:val="18"/>
        </w:rPr>
        <w:tab/>
      </w:r>
      <w:r>
        <w:rPr>
          <w:sz w:val="18"/>
          <w:szCs w:val="18"/>
        </w:rPr>
        <w:tab/>
        <w:t xml:space="preserve">    239.000</w:t>
      </w:r>
    </w:p>
    <w:p w14:paraId="713D8704" w14:textId="77777777" w:rsidR="006E7C03" w:rsidRDefault="006E7C03" w:rsidP="006E7C03">
      <w:pPr>
        <w:spacing w:after="0"/>
        <w:rPr>
          <w:sz w:val="18"/>
          <w:szCs w:val="18"/>
        </w:rPr>
      </w:pPr>
      <w:r>
        <w:rPr>
          <w:sz w:val="18"/>
          <w:szCs w:val="18"/>
        </w:rPr>
        <w:t>Singapore</w:t>
      </w:r>
      <w:r>
        <w:rPr>
          <w:sz w:val="18"/>
          <w:szCs w:val="18"/>
        </w:rPr>
        <w:tab/>
      </w:r>
      <w:r>
        <w:rPr>
          <w:sz w:val="18"/>
          <w:szCs w:val="18"/>
        </w:rPr>
        <w:tab/>
        <w:t xml:space="preserve">    156.000</w:t>
      </w:r>
    </w:p>
    <w:p w14:paraId="6071A447" w14:textId="77777777" w:rsidR="006E7C03" w:rsidRDefault="006E7C03" w:rsidP="006E7C03">
      <w:pPr>
        <w:spacing w:after="0"/>
        <w:rPr>
          <w:sz w:val="18"/>
          <w:szCs w:val="18"/>
        </w:rPr>
      </w:pPr>
    </w:p>
    <w:p w14:paraId="02B83381" w14:textId="77777777" w:rsidR="006E7C03" w:rsidRPr="002B60A3" w:rsidRDefault="006E7C03" w:rsidP="006E7C03">
      <w:pPr>
        <w:spacing w:after="0"/>
        <w:rPr>
          <w:color w:val="FF0000"/>
          <w:sz w:val="16"/>
          <w:szCs w:val="16"/>
        </w:rPr>
      </w:pPr>
      <w:r>
        <w:t xml:space="preserve">Altre Aree </w:t>
      </w:r>
      <w:r w:rsidRPr="002A0E49">
        <w:rPr>
          <w:sz w:val="18"/>
          <w:szCs w:val="18"/>
        </w:rPr>
        <w:t xml:space="preserve">(passeggeri a/p da/per scali </w:t>
      </w:r>
      <w:proofErr w:type="gramStart"/>
      <w:r w:rsidRPr="002A0E49">
        <w:rPr>
          <w:sz w:val="18"/>
          <w:szCs w:val="18"/>
        </w:rPr>
        <w:t>italiani)</w:t>
      </w:r>
      <w:r>
        <w:t xml:space="preserve">  </w:t>
      </w:r>
      <w:r w:rsidRPr="002B60A3">
        <w:rPr>
          <w:color w:val="FF0000"/>
          <w:sz w:val="16"/>
          <w:szCs w:val="16"/>
        </w:rPr>
        <w:t>(</w:t>
      </w:r>
      <w:proofErr w:type="gramEnd"/>
      <w:r w:rsidRPr="002B60A3">
        <w:rPr>
          <w:color w:val="FF0000"/>
          <w:sz w:val="16"/>
          <w:szCs w:val="16"/>
        </w:rPr>
        <w:t>8)</w:t>
      </w:r>
    </w:p>
    <w:p w14:paraId="6F9C8B11" w14:textId="77777777" w:rsidR="006E7C03" w:rsidRDefault="006E7C03" w:rsidP="006E7C03">
      <w:pPr>
        <w:spacing w:after="0"/>
      </w:pPr>
    </w:p>
    <w:p w14:paraId="638FF5A6" w14:textId="77777777" w:rsidR="006E7C03" w:rsidRDefault="006E7C03" w:rsidP="006E7C03">
      <w:pPr>
        <w:spacing w:after="0"/>
        <w:rPr>
          <w:sz w:val="18"/>
          <w:szCs w:val="18"/>
        </w:rPr>
      </w:pPr>
      <w:r w:rsidRPr="00CA28F9">
        <w:rPr>
          <w:sz w:val="18"/>
          <w:szCs w:val="18"/>
        </w:rPr>
        <w:t>Stati Uniti</w:t>
      </w:r>
      <w:r>
        <w:rPr>
          <w:sz w:val="18"/>
          <w:szCs w:val="18"/>
        </w:rPr>
        <w:tab/>
      </w:r>
      <w:r>
        <w:rPr>
          <w:sz w:val="18"/>
          <w:szCs w:val="18"/>
        </w:rPr>
        <w:tab/>
        <w:t>3.441.000</w:t>
      </w:r>
    </w:p>
    <w:p w14:paraId="24CFD66B" w14:textId="77777777" w:rsidR="006E7C03" w:rsidRDefault="006E7C03" w:rsidP="006E7C03">
      <w:pPr>
        <w:spacing w:after="0"/>
        <w:rPr>
          <w:sz w:val="18"/>
          <w:szCs w:val="18"/>
        </w:rPr>
      </w:pPr>
      <w:r>
        <w:rPr>
          <w:sz w:val="18"/>
          <w:szCs w:val="18"/>
        </w:rPr>
        <w:t>Egitto</w:t>
      </w:r>
      <w:r>
        <w:rPr>
          <w:sz w:val="18"/>
          <w:szCs w:val="18"/>
        </w:rPr>
        <w:tab/>
      </w:r>
      <w:r>
        <w:rPr>
          <w:sz w:val="18"/>
          <w:szCs w:val="18"/>
        </w:rPr>
        <w:tab/>
      </w:r>
      <w:r>
        <w:rPr>
          <w:sz w:val="18"/>
          <w:szCs w:val="18"/>
        </w:rPr>
        <w:tab/>
        <w:t>1.396.000</w:t>
      </w:r>
    </w:p>
    <w:p w14:paraId="54619D0A" w14:textId="77777777" w:rsidR="006E7C03" w:rsidRDefault="006E7C03" w:rsidP="006E7C03">
      <w:pPr>
        <w:spacing w:after="0"/>
        <w:rPr>
          <w:sz w:val="18"/>
          <w:szCs w:val="18"/>
        </w:rPr>
      </w:pPr>
      <w:r>
        <w:rPr>
          <w:sz w:val="18"/>
          <w:szCs w:val="18"/>
        </w:rPr>
        <w:t>Marocco</w:t>
      </w:r>
      <w:r>
        <w:rPr>
          <w:sz w:val="18"/>
          <w:szCs w:val="18"/>
        </w:rPr>
        <w:tab/>
      </w:r>
      <w:r>
        <w:rPr>
          <w:sz w:val="18"/>
          <w:szCs w:val="18"/>
        </w:rPr>
        <w:tab/>
      </w:r>
      <w:r>
        <w:rPr>
          <w:sz w:val="18"/>
          <w:szCs w:val="18"/>
        </w:rPr>
        <w:tab/>
        <w:t>1.286.000</w:t>
      </w:r>
    </w:p>
    <w:p w14:paraId="3FD25E20" w14:textId="77777777" w:rsidR="006E7C03" w:rsidRDefault="006E7C03" w:rsidP="006E7C03">
      <w:pPr>
        <w:spacing w:after="0"/>
        <w:rPr>
          <w:sz w:val="18"/>
          <w:szCs w:val="18"/>
        </w:rPr>
      </w:pPr>
      <w:r>
        <w:rPr>
          <w:sz w:val="18"/>
          <w:szCs w:val="18"/>
        </w:rPr>
        <w:t>Canada</w:t>
      </w:r>
      <w:r>
        <w:rPr>
          <w:sz w:val="18"/>
          <w:szCs w:val="18"/>
        </w:rPr>
        <w:tab/>
      </w:r>
      <w:r>
        <w:rPr>
          <w:sz w:val="18"/>
          <w:szCs w:val="18"/>
        </w:rPr>
        <w:tab/>
      </w:r>
      <w:r>
        <w:rPr>
          <w:sz w:val="18"/>
          <w:szCs w:val="18"/>
        </w:rPr>
        <w:tab/>
        <w:t xml:space="preserve">    598.000</w:t>
      </w:r>
    </w:p>
    <w:p w14:paraId="0471D522" w14:textId="77777777" w:rsidR="006E7C03" w:rsidRDefault="006E7C03" w:rsidP="006E7C03">
      <w:pPr>
        <w:spacing w:after="0"/>
        <w:rPr>
          <w:sz w:val="18"/>
          <w:szCs w:val="18"/>
        </w:rPr>
      </w:pPr>
      <w:r>
        <w:rPr>
          <w:sz w:val="18"/>
          <w:szCs w:val="18"/>
        </w:rPr>
        <w:t>Brasile</w:t>
      </w:r>
      <w:r>
        <w:rPr>
          <w:sz w:val="18"/>
          <w:szCs w:val="18"/>
        </w:rPr>
        <w:tab/>
      </w:r>
      <w:r>
        <w:rPr>
          <w:sz w:val="18"/>
          <w:szCs w:val="18"/>
        </w:rPr>
        <w:tab/>
      </w:r>
      <w:r>
        <w:rPr>
          <w:sz w:val="18"/>
          <w:szCs w:val="18"/>
        </w:rPr>
        <w:tab/>
        <w:t xml:space="preserve">    296.000</w:t>
      </w:r>
    </w:p>
    <w:p w14:paraId="1E0A3539" w14:textId="77777777" w:rsidR="006E7C03" w:rsidRPr="00CA28F9" w:rsidRDefault="006E7C03" w:rsidP="006E7C03">
      <w:pPr>
        <w:spacing w:after="0"/>
        <w:rPr>
          <w:sz w:val="18"/>
          <w:szCs w:val="18"/>
        </w:rPr>
      </w:pPr>
    </w:p>
    <w:p w14:paraId="39D15D87" w14:textId="77777777" w:rsidR="006E7C03" w:rsidRDefault="006E7C03" w:rsidP="006E7C03"/>
    <w:p w14:paraId="2FFDCA67" w14:textId="1CBC9658" w:rsidR="006E7C03" w:rsidRPr="00186609" w:rsidRDefault="006E7C03" w:rsidP="006E7C03">
      <w:pPr>
        <w:pStyle w:val="Paragrafoelenco"/>
        <w:numPr>
          <w:ilvl w:val="0"/>
          <w:numId w:val="6"/>
        </w:numPr>
        <w:spacing w:after="160" w:line="259" w:lineRule="auto"/>
        <w:rPr>
          <w:rFonts w:cstheme="minorHAnsi"/>
          <w:sz w:val="16"/>
          <w:szCs w:val="16"/>
        </w:rPr>
      </w:pPr>
      <w:r w:rsidRPr="00186609">
        <w:rPr>
          <w:rFonts w:cstheme="minorHAnsi"/>
          <w:sz w:val="16"/>
          <w:szCs w:val="16"/>
        </w:rPr>
        <w:t>Pag. 22 dal Rapporto Enac</w:t>
      </w:r>
      <w:r w:rsidR="000C17EF">
        <w:rPr>
          <w:rFonts w:cstheme="minorHAnsi"/>
          <w:sz w:val="16"/>
          <w:szCs w:val="16"/>
        </w:rPr>
        <w:t xml:space="preserve"> “Dati di Traffico 2022”</w:t>
      </w:r>
    </w:p>
    <w:p w14:paraId="364A9A66" w14:textId="77777777" w:rsidR="006E7C03" w:rsidRPr="00186609" w:rsidRDefault="006E7C03" w:rsidP="006E7C03">
      <w:pPr>
        <w:pStyle w:val="Paragrafoelenco"/>
        <w:numPr>
          <w:ilvl w:val="0"/>
          <w:numId w:val="6"/>
        </w:numPr>
        <w:spacing w:after="160" w:line="259" w:lineRule="auto"/>
        <w:rPr>
          <w:rFonts w:cstheme="minorHAnsi"/>
          <w:sz w:val="16"/>
          <w:szCs w:val="16"/>
        </w:rPr>
      </w:pPr>
      <w:r w:rsidRPr="00186609">
        <w:rPr>
          <w:rFonts w:cstheme="minorHAnsi"/>
          <w:sz w:val="16"/>
          <w:szCs w:val="16"/>
        </w:rPr>
        <w:t>Sezione I, Inquadramento Generale</w:t>
      </w:r>
    </w:p>
    <w:p w14:paraId="671211BF" w14:textId="77777777" w:rsidR="006E7C03" w:rsidRPr="00186609" w:rsidRDefault="006E7C03" w:rsidP="006E7C03">
      <w:pPr>
        <w:pStyle w:val="Paragrafoelenco"/>
        <w:numPr>
          <w:ilvl w:val="0"/>
          <w:numId w:val="6"/>
        </w:numPr>
        <w:spacing w:after="0" w:line="240" w:lineRule="auto"/>
        <w:rPr>
          <w:rFonts w:cstheme="minorHAnsi"/>
          <w:sz w:val="16"/>
          <w:szCs w:val="16"/>
        </w:rPr>
      </w:pPr>
      <w:r w:rsidRPr="00186609">
        <w:rPr>
          <w:rFonts w:cstheme="minorHAnsi"/>
          <w:sz w:val="16"/>
          <w:szCs w:val="16"/>
        </w:rPr>
        <w:t xml:space="preserve">Il fatto che Linate e Malpensa siano gestite da SEA, mentre Bergamo è gestita da altra società (Sacbo), non può essere un valido motivo per non agglomerare i tre </w:t>
      </w:r>
      <w:proofErr w:type="gramStart"/>
      <w:r w:rsidRPr="00186609">
        <w:rPr>
          <w:rFonts w:cstheme="minorHAnsi"/>
          <w:sz w:val="16"/>
          <w:szCs w:val="16"/>
        </w:rPr>
        <w:t>scali  in</w:t>
      </w:r>
      <w:proofErr w:type="gramEnd"/>
      <w:r w:rsidRPr="00186609">
        <w:rPr>
          <w:rFonts w:cstheme="minorHAnsi"/>
          <w:sz w:val="16"/>
          <w:szCs w:val="16"/>
        </w:rPr>
        <w:t xml:space="preserve"> una unica area operativa.</w:t>
      </w:r>
    </w:p>
    <w:p w14:paraId="3B3FAC4C" w14:textId="77777777" w:rsidR="006E7C03" w:rsidRPr="00186609" w:rsidRDefault="006E7C03" w:rsidP="006E7C03">
      <w:pPr>
        <w:pStyle w:val="Paragrafoelenco"/>
        <w:numPr>
          <w:ilvl w:val="0"/>
          <w:numId w:val="6"/>
        </w:numPr>
        <w:spacing w:after="0" w:line="240" w:lineRule="auto"/>
        <w:rPr>
          <w:rFonts w:cstheme="minorHAnsi"/>
          <w:sz w:val="16"/>
          <w:szCs w:val="16"/>
        </w:rPr>
      </w:pPr>
      <w:r w:rsidRPr="00186609">
        <w:rPr>
          <w:rFonts w:cstheme="minorHAnsi"/>
          <w:sz w:val="16"/>
          <w:szCs w:val="16"/>
        </w:rPr>
        <w:t xml:space="preserve">“ROMA/MILANO E LA ITA AIRWAYS” Newsletter del 3 maggio 2023 </w:t>
      </w:r>
    </w:p>
    <w:p w14:paraId="14C1A645" w14:textId="77777777" w:rsidR="006E7C03" w:rsidRPr="00186609" w:rsidRDefault="006E7C03" w:rsidP="006E7C03">
      <w:pPr>
        <w:pStyle w:val="Paragrafoelenco"/>
        <w:numPr>
          <w:ilvl w:val="0"/>
          <w:numId w:val="6"/>
        </w:numPr>
        <w:spacing w:after="0" w:line="240" w:lineRule="auto"/>
        <w:rPr>
          <w:rFonts w:cstheme="minorHAnsi"/>
          <w:sz w:val="16"/>
          <w:szCs w:val="16"/>
        </w:rPr>
      </w:pPr>
      <w:r w:rsidRPr="00186609">
        <w:rPr>
          <w:rFonts w:cstheme="minorHAnsi"/>
          <w:sz w:val="16"/>
          <w:szCs w:val="16"/>
        </w:rPr>
        <w:t>Tabella 5.1 “Passeggeri” (servizi di linea e charter) pagg.122:124</w:t>
      </w:r>
    </w:p>
    <w:p w14:paraId="6414638E" w14:textId="77777777" w:rsidR="006E7C03" w:rsidRPr="00186609" w:rsidRDefault="006E7C03" w:rsidP="006E7C03">
      <w:pPr>
        <w:pStyle w:val="Paragrafoelenco"/>
        <w:numPr>
          <w:ilvl w:val="0"/>
          <w:numId w:val="6"/>
        </w:numPr>
        <w:spacing w:after="0" w:line="240" w:lineRule="auto"/>
        <w:rPr>
          <w:rFonts w:cstheme="minorHAnsi"/>
          <w:sz w:val="16"/>
          <w:szCs w:val="16"/>
        </w:rPr>
      </w:pPr>
      <w:r w:rsidRPr="00186609">
        <w:rPr>
          <w:rFonts w:cstheme="minorHAnsi"/>
          <w:color w:val="202122"/>
          <w:sz w:val="16"/>
          <w:szCs w:val="16"/>
          <w:shd w:val="clear" w:color="auto" w:fill="FFFFFF"/>
        </w:rPr>
        <w:t>La Holding Ryanair include la Ryanair Uk, la Buzz, la Lauda Europe e la Malta Air da non confondere con la compagnia di bandiera maltese Air Malta.</w:t>
      </w:r>
    </w:p>
    <w:p w14:paraId="7D3C2B27" w14:textId="77777777" w:rsidR="006E7C03" w:rsidRPr="00186609" w:rsidRDefault="006E7C03" w:rsidP="006E7C03">
      <w:pPr>
        <w:pStyle w:val="Paragrafoelenco"/>
        <w:numPr>
          <w:ilvl w:val="0"/>
          <w:numId w:val="6"/>
        </w:numPr>
        <w:spacing w:after="0" w:line="240" w:lineRule="auto"/>
        <w:rPr>
          <w:rFonts w:cstheme="minorHAnsi"/>
          <w:sz w:val="16"/>
          <w:szCs w:val="16"/>
        </w:rPr>
      </w:pPr>
      <w:r w:rsidRPr="00186609">
        <w:rPr>
          <w:rFonts w:cstheme="minorHAnsi"/>
          <w:sz w:val="16"/>
          <w:szCs w:val="16"/>
        </w:rPr>
        <w:t xml:space="preserve"> Dati tratti dalle tabelle riportate alle pagg. 28/29</w:t>
      </w:r>
    </w:p>
    <w:p w14:paraId="08507EF1" w14:textId="77777777" w:rsidR="006E7C03" w:rsidRDefault="006E7C03" w:rsidP="006E7C03">
      <w:pPr>
        <w:pStyle w:val="Paragrafoelenco"/>
        <w:numPr>
          <w:ilvl w:val="0"/>
          <w:numId w:val="6"/>
        </w:numPr>
        <w:spacing w:after="0" w:line="240" w:lineRule="auto"/>
        <w:rPr>
          <w:rFonts w:cstheme="minorHAnsi"/>
          <w:sz w:val="16"/>
          <w:szCs w:val="16"/>
        </w:rPr>
      </w:pPr>
      <w:r w:rsidRPr="00186609">
        <w:rPr>
          <w:rFonts w:cstheme="minorHAnsi"/>
          <w:sz w:val="16"/>
          <w:szCs w:val="16"/>
        </w:rPr>
        <w:t>Tavola OD1, pagg.70,71,72</w:t>
      </w:r>
    </w:p>
    <w:p w14:paraId="6458C1B5" w14:textId="77777777" w:rsidR="000C17EF" w:rsidRDefault="000C17EF" w:rsidP="000C17EF">
      <w:pPr>
        <w:pStyle w:val="Paragrafoelenco"/>
        <w:spacing w:after="0" w:line="240" w:lineRule="auto"/>
        <w:rPr>
          <w:rFonts w:cstheme="minorHAnsi"/>
          <w:sz w:val="16"/>
          <w:szCs w:val="16"/>
        </w:rPr>
      </w:pPr>
    </w:p>
    <w:p w14:paraId="37AD6527" w14:textId="488B57EC" w:rsidR="000C17EF" w:rsidRDefault="000C17EF" w:rsidP="000C17EF">
      <w:pPr>
        <w:spacing w:after="0" w:line="240" w:lineRule="auto"/>
        <w:jc w:val="center"/>
        <w:rPr>
          <w:rFonts w:cstheme="minorHAnsi"/>
          <w:b/>
          <w:bCs/>
          <w:i/>
          <w:iCs/>
          <w:color w:val="00B0F0"/>
          <w:sz w:val="16"/>
          <w:szCs w:val="16"/>
        </w:rPr>
      </w:pPr>
      <w:r w:rsidRPr="000C17EF">
        <w:rPr>
          <w:rFonts w:cstheme="minorHAnsi"/>
          <w:b/>
          <w:bCs/>
          <w:i/>
          <w:iCs/>
          <w:color w:val="00B0F0"/>
          <w:sz w:val="16"/>
          <w:szCs w:val="16"/>
        </w:rPr>
        <w:t>www.Aviation-Industry-News.com</w:t>
      </w:r>
    </w:p>
    <w:p w14:paraId="188AE4F5" w14:textId="46E5FB49" w:rsidR="000C17EF" w:rsidRPr="000C17EF" w:rsidRDefault="000C17EF" w:rsidP="000C17EF">
      <w:pPr>
        <w:spacing w:after="0" w:line="240" w:lineRule="auto"/>
        <w:rPr>
          <w:rFonts w:cstheme="minorHAnsi"/>
          <w:i/>
          <w:iCs/>
          <w:color w:val="00B0F0"/>
          <w:sz w:val="16"/>
          <w:szCs w:val="16"/>
        </w:rPr>
      </w:pPr>
      <w:r w:rsidRPr="000C17EF">
        <w:rPr>
          <w:rFonts w:cstheme="minorHAnsi"/>
          <w:i/>
          <w:iCs/>
          <w:color w:val="00B0F0"/>
          <w:sz w:val="16"/>
          <w:szCs w:val="16"/>
        </w:rPr>
        <w:t>12/05/2023</w:t>
      </w:r>
    </w:p>
    <w:p w14:paraId="13229C20" w14:textId="77777777" w:rsidR="006E7C03" w:rsidRDefault="006E7C03" w:rsidP="006E7C03"/>
    <w:p w14:paraId="31CC306C" w14:textId="77777777" w:rsidR="006E7C03" w:rsidRDefault="006E7C03" w:rsidP="006E7C03"/>
    <w:p w14:paraId="016A6CF0" w14:textId="77777777" w:rsidR="006E7C03" w:rsidRDefault="006E7C03" w:rsidP="006E7C03"/>
    <w:p w14:paraId="3D3B35E9" w14:textId="516980CF" w:rsidR="00D02A77" w:rsidRPr="00186609" w:rsidRDefault="00D02A77" w:rsidP="00186609">
      <w:pPr>
        <w:ind w:left="708" w:firstLine="708"/>
        <w:rPr>
          <w:sz w:val="20"/>
          <w:szCs w:val="20"/>
        </w:rPr>
      </w:pPr>
      <w:r>
        <w:rPr>
          <w:b/>
          <w:bCs/>
          <w:color w:val="00B0F0"/>
          <w:sz w:val="28"/>
          <w:szCs w:val="28"/>
        </w:rPr>
        <w:lastRenderedPageBreak/>
        <w:t xml:space="preserve">          </w:t>
      </w:r>
    </w:p>
    <w:p w14:paraId="30E84C99" w14:textId="487C6D65" w:rsidR="00E071A0" w:rsidRPr="000C17EF" w:rsidRDefault="00D02A77" w:rsidP="000C17EF">
      <w:pPr>
        <w:pStyle w:val="Paragrafoelenco"/>
        <w:rPr>
          <w:i/>
          <w:iCs/>
          <w:color w:val="0070C0"/>
          <w:sz w:val="20"/>
          <w:szCs w:val="20"/>
        </w:rPr>
      </w:pPr>
      <w:r>
        <w:rPr>
          <w:i/>
          <w:iCs/>
          <w:color w:val="0070C0"/>
          <w:sz w:val="20"/>
          <w:szCs w:val="20"/>
        </w:rPr>
        <w:t xml:space="preserve">                                            </w:t>
      </w:r>
    </w:p>
    <w:p w14:paraId="6E927BB5" w14:textId="45FCF96B" w:rsidR="00E071A0" w:rsidRPr="00464157" w:rsidRDefault="00E071A0" w:rsidP="00331D0E">
      <w:pPr>
        <w:rPr>
          <w:sz w:val="16"/>
          <w:szCs w:val="16"/>
        </w:rPr>
      </w:pPr>
    </w:p>
    <w:p w14:paraId="04A0B329" w14:textId="77777777" w:rsidR="00E071A0" w:rsidRDefault="00E071A0" w:rsidP="00E071A0">
      <w:pPr>
        <w:pStyle w:val="Paragrafoelenco"/>
        <w:spacing w:after="0"/>
        <w:jc w:val="center"/>
        <w:rPr>
          <w:noProof/>
          <w:sz w:val="16"/>
          <w:szCs w:val="16"/>
        </w:rPr>
      </w:pPr>
      <w:r>
        <w:rPr>
          <w:noProof/>
        </w:rPr>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92AE262" w14:textId="77777777" w:rsidR="00C119DB" w:rsidRPr="000C17EF" w:rsidRDefault="00C119DB" w:rsidP="000C17EF">
      <w:pPr>
        <w:spacing w:after="0"/>
        <w:rPr>
          <w:sz w:val="16"/>
          <w:szCs w:val="16"/>
        </w:rPr>
      </w:pPr>
    </w:p>
    <w:p w14:paraId="3539095E" w14:textId="77777777" w:rsidR="00C119DB" w:rsidRDefault="00C119DB" w:rsidP="00E071A0">
      <w:pPr>
        <w:pStyle w:val="Paragrafoelenco"/>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w:t>
      </w:r>
      <w:proofErr w:type="gramStart"/>
      <w:r w:rsidRPr="00F854AD">
        <w:rPr>
          <w:color w:val="C00000"/>
          <w:sz w:val="28"/>
          <w:szCs w:val="28"/>
        </w:rPr>
        <w:t>email :</w:t>
      </w:r>
      <w:proofErr w:type="gramEnd"/>
      <w:r w:rsidRPr="00F854AD">
        <w:rPr>
          <w:color w:val="C00000"/>
          <w:sz w:val="28"/>
          <w:szCs w:val="28"/>
        </w:rPr>
        <w:t xml:space="preserve">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9"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0"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5D0CC4" w:rsidP="00E071A0">
      <w:pPr>
        <w:pBdr>
          <w:top w:val="single" w:sz="4" w:space="1" w:color="auto"/>
          <w:left w:val="single" w:sz="4" w:space="4" w:color="auto"/>
          <w:bottom w:val="single" w:sz="4" w:space="1" w:color="auto"/>
          <w:right w:val="single" w:sz="4" w:space="4" w:color="auto"/>
        </w:pBdr>
        <w:rPr>
          <w:color w:val="C00000"/>
          <w:sz w:val="28"/>
          <w:szCs w:val="28"/>
        </w:rPr>
      </w:pPr>
      <w:hyperlink r:id="rId11"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proofErr w:type="gramStart"/>
      <w:r>
        <w:rPr>
          <w:color w:val="C00000"/>
          <w:sz w:val="28"/>
          <w:szCs w:val="28"/>
        </w:rPr>
        <w:t>E’</w:t>
      </w:r>
      <w:proofErr w:type="gramEnd"/>
      <w:r>
        <w:rPr>
          <w:color w:val="C00000"/>
          <w:sz w:val="28"/>
          <w:szCs w:val="28"/>
        </w:rPr>
        <w:t xml:space="preserv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35D7"/>
    <w:multiLevelType w:val="hybridMultilevel"/>
    <w:tmpl w:val="C11AAF60"/>
    <w:lvl w:ilvl="0" w:tplc="D7D839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F45AD0"/>
    <w:multiLevelType w:val="hybridMultilevel"/>
    <w:tmpl w:val="09322E96"/>
    <w:lvl w:ilvl="0" w:tplc="39587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1F5C9A"/>
    <w:multiLevelType w:val="hybridMultilevel"/>
    <w:tmpl w:val="F1DAED70"/>
    <w:lvl w:ilvl="0" w:tplc="51F6B7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975197"/>
    <w:multiLevelType w:val="hybridMultilevel"/>
    <w:tmpl w:val="DBD8B1BE"/>
    <w:lvl w:ilvl="0" w:tplc="1ADA90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8C373D"/>
    <w:multiLevelType w:val="hybridMultilevel"/>
    <w:tmpl w:val="73F01A0A"/>
    <w:lvl w:ilvl="0" w:tplc="403820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AC329CC"/>
    <w:multiLevelType w:val="hybridMultilevel"/>
    <w:tmpl w:val="0386A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6"/>
  </w:num>
  <w:num w:numId="2" w16cid:durableId="486942366">
    <w:abstractNumId w:val="1"/>
  </w:num>
  <w:num w:numId="3" w16cid:durableId="1728647720">
    <w:abstractNumId w:val="3"/>
  </w:num>
  <w:num w:numId="4" w16cid:durableId="546650760">
    <w:abstractNumId w:val="4"/>
  </w:num>
  <w:num w:numId="5" w16cid:durableId="528180919">
    <w:abstractNumId w:val="2"/>
  </w:num>
  <w:num w:numId="6" w16cid:durableId="1092898239">
    <w:abstractNumId w:val="0"/>
  </w:num>
  <w:num w:numId="7" w16cid:durableId="1607731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6450"/>
    <w:rsid w:val="000461EC"/>
    <w:rsid w:val="00094C2A"/>
    <w:rsid w:val="000C17EF"/>
    <w:rsid w:val="00106842"/>
    <w:rsid w:val="00110748"/>
    <w:rsid w:val="0014244D"/>
    <w:rsid w:val="00144E39"/>
    <w:rsid w:val="001518BB"/>
    <w:rsid w:val="0016760D"/>
    <w:rsid w:val="00176E10"/>
    <w:rsid w:val="00186609"/>
    <w:rsid w:val="001B35AB"/>
    <w:rsid w:val="00255784"/>
    <w:rsid w:val="002B0F39"/>
    <w:rsid w:val="002B3496"/>
    <w:rsid w:val="002C4885"/>
    <w:rsid w:val="002E2B0A"/>
    <w:rsid w:val="002F716A"/>
    <w:rsid w:val="00316C8A"/>
    <w:rsid w:val="00331D0E"/>
    <w:rsid w:val="0033304F"/>
    <w:rsid w:val="0034465C"/>
    <w:rsid w:val="0035543F"/>
    <w:rsid w:val="003942D1"/>
    <w:rsid w:val="0039621B"/>
    <w:rsid w:val="003C3405"/>
    <w:rsid w:val="003C3994"/>
    <w:rsid w:val="003F6A39"/>
    <w:rsid w:val="004305A7"/>
    <w:rsid w:val="00443CE6"/>
    <w:rsid w:val="00452774"/>
    <w:rsid w:val="004559B2"/>
    <w:rsid w:val="004561F5"/>
    <w:rsid w:val="00456597"/>
    <w:rsid w:val="00457879"/>
    <w:rsid w:val="00466143"/>
    <w:rsid w:val="004714B1"/>
    <w:rsid w:val="00497487"/>
    <w:rsid w:val="00535CB8"/>
    <w:rsid w:val="00545765"/>
    <w:rsid w:val="00561740"/>
    <w:rsid w:val="00592A6D"/>
    <w:rsid w:val="005A053C"/>
    <w:rsid w:val="005D07E0"/>
    <w:rsid w:val="005D0CC4"/>
    <w:rsid w:val="005D14E1"/>
    <w:rsid w:val="005D35E7"/>
    <w:rsid w:val="005F677A"/>
    <w:rsid w:val="00633E74"/>
    <w:rsid w:val="00667FA1"/>
    <w:rsid w:val="00677769"/>
    <w:rsid w:val="00684AFE"/>
    <w:rsid w:val="006912F6"/>
    <w:rsid w:val="006B435A"/>
    <w:rsid w:val="006E6866"/>
    <w:rsid w:val="006E7AF0"/>
    <w:rsid w:val="006E7C03"/>
    <w:rsid w:val="006F7E42"/>
    <w:rsid w:val="00721234"/>
    <w:rsid w:val="0074706C"/>
    <w:rsid w:val="007A5B44"/>
    <w:rsid w:val="007E5C9C"/>
    <w:rsid w:val="00806332"/>
    <w:rsid w:val="008153C4"/>
    <w:rsid w:val="00832498"/>
    <w:rsid w:val="008526C5"/>
    <w:rsid w:val="00853060"/>
    <w:rsid w:val="008949C8"/>
    <w:rsid w:val="008C0AEF"/>
    <w:rsid w:val="008C7671"/>
    <w:rsid w:val="00951E6D"/>
    <w:rsid w:val="00985C0F"/>
    <w:rsid w:val="009F0829"/>
    <w:rsid w:val="00A5040B"/>
    <w:rsid w:val="00A63544"/>
    <w:rsid w:val="00A71F47"/>
    <w:rsid w:val="00A922E7"/>
    <w:rsid w:val="00A929C4"/>
    <w:rsid w:val="00AB06BB"/>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C400E"/>
    <w:rsid w:val="00CD6E4D"/>
    <w:rsid w:val="00CE1E49"/>
    <w:rsid w:val="00CE4D88"/>
    <w:rsid w:val="00CE55A4"/>
    <w:rsid w:val="00CE690E"/>
    <w:rsid w:val="00D01C67"/>
    <w:rsid w:val="00D02A77"/>
    <w:rsid w:val="00D07B3F"/>
    <w:rsid w:val="00D10CD9"/>
    <w:rsid w:val="00D42FC5"/>
    <w:rsid w:val="00D468B3"/>
    <w:rsid w:val="00D4726C"/>
    <w:rsid w:val="00D5670B"/>
    <w:rsid w:val="00D674B3"/>
    <w:rsid w:val="00D83A17"/>
    <w:rsid w:val="00D86C7D"/>
    <w:rsid w:val="00D87182"/>
    <w:rsid w:val="00DE7DF3"/>
    <w:rsid w:val="00E071A0"/>
    <w:rsid w:val="00E07C35"/>
    <w:rsid w:val="00E13F33"/>
    <w:rsid w:val="00E33726"/>
    <w:rsid w:val="00E437C1"/>
    <w:rsid w:val="00E46568"/>
    <w:rsid w:val="00E678F7"/>
    <w:rsid w:val="00E71819"/>
    <w:rsid w:val="00E77B4E"/>
    <w:rsid w:val="00E825E2"/>
    <w:rsid w:val="00EF2A8F"/>
    <w:rsid w:val="00F0237F"/>
    <w:rsid w:val="00F50933"/>
    <w:rsid w:val="00F6280E"/>
    <w:rsid w:val="00F73983"/>
    <w:rsid w:val="00F758F8"/>
    <w:rsid w:val="00FA1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 w:type="paragraph" w:styleId="NormaleWeb">
    <w:name w:val="Normal (Web)"/>
    <w:basedOn w:val="Normale"/>
    <w:uiPriority w:val="99"/>
    <w:semiHidden/>
    <w:unhideWhenUsed/>
    <w:rsid w:val="00545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5765"/>
    <w:rPr>
      <w:i/>
      <w:iCs/>
    </w:rPr>
  </w:style>
  <w:style w:type="character" w:styleId="Menzionenonrisolta">
    <w:name w:val="Unresolved Mention"/>
    <w:basedOn w:val="Carpredefinitoparagrafo"/>
    <w:uiPriority w:val="99"/>
    <w:semiHidden/>
    <w:unhideWhenUsed/>
    <w:rsid w:val="00331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ir-accidents.com" TargetMode="External"/><Relationship Id="rId5" Type="http://schemas.openxmlformats.org/officeDocument/2006/relationships/image" Target="media/image1.png"/><Relationship Id="rId10" Type="http://schemas.openxmlformats.org/officeDocument/2006/relationships/hyperlink" Target="http://www.aviation-industry-news.com" TargetMode="External"/><Relationship Id="rId4" Type="http://schemas.openxmlformats.org/officeDocument/2006/relationships/webSettings" Target="webSettings.xml"/><Relationship Id="rId9" Type="http://schemas.openxmlformats.org/officeDocument/2006/relationships/hyperlink" Target="mailto:antonio.bordoni@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7</cp:revision>
  <dcterms:created xsi:type="dcterms:W3CDTF">2023-05-12T14:48:00Z</dcterms:created>
  <dcterms:modified xsi:type="dcterms:W3CDTF">2023-05-12T14:53:00Z</dcterms:modified>
</cp:coreProperties>
</file>