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97" w:rsidRDefault="00730D97" w:rsidP="00730D97">
      <w:pPr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it-IT"/>
        </w:rPr>
        <w:drawing>
          <wp:inline distT="0" distB="0" distL="0" distR="0">
            <wp:extent cx="2589253" cy="324000"/>
            <wp:effectExtent l="19050" t="0" r="1547" b="0"/>
            <wp:docPr id="3" name="Immagine 2" descr="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253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B2A" w:rsidRDefault="000E0B2A" w:rsidP="009F36E5">
      <w:pPr>
        <w:jc w:val="center"/>
        <w:rPr>
          <w:b/>
          <w:color w:val="00B0F0"/>
          <w:sz w:val="28"/>
          <w:szCs w:val="28"/>
        </w:rPr>
      </w:pPr>
    </w:p>
    <w:p w:rsidR="009F36E5" w:rsidRPr="005F3EAE" w:rsidRDefault="009F36E5" w:rsidP="009F36E5">
      <w:pPr>
        <w:jc w:val="center"/>
        <w:rPr>
          <w:b/>
          <w:color w:val="00B0F0"/>
          <w:sz w:val="28"/>
          <w:szCs w:val="28"/>
        </w:rPr>
      </w:pPr>
      <w:r w:rsidRPr="005F3EAE">
        <w:rPr>
          <w:b/>
          <w:color w:val="00B0F0"/>
          <w:sz w:val="28"/>
          <w:szCs w:val="28"/>
        </w:rPr>
        <w:t>CHI PAGA PIU’ TASSE IN CIELO?</w:t>
      </w:r>
    </w:p>
    <w:p w:rsidR="009F36E5" w:rsidRDefault="009F36E5"/>
    <w:p w:rsidR="00315E50" w:rsidRDefault="00EC5803" w:rsidP="00315E50">
      <w:pPr>
        <w:spacing w:after="0"/>
        <w:rPr>
          <w:sz w:val="24"/>
          <w:szCs w:val="24"/>
        </w:rPr>
      </w:pPr>
      <w:r w:rsidRPr="00D76B5C">
        <w:rPr>
          <w:sz w:val="24"/>
          <w:szCs w:val="24"/>
        </w:rPr>
        <w:t>Anche in cielo ci sono le tasse.</w:t>
      </w:r>
      <w:r w:rsidR="00D76B5C" w:rsidRPr="00D76B5C">
        <w:rPr>
          <w:sz w:val="24"/>
          <w:szCs w:val="24"/>
        </w:rPr>
        <w:t xml:space="preserve"> Sia che volate con una  compagnia aerea</w:t>
      </w:r>
      <w:r w:rsidR="005F3EAE">
        <w:rPr>
          <w:sz w:val="24"/>
          <w:szCs w:val="24"/>
        </w:rPr>
        <w:t xml:space="preserve"> di linea</w:t>
      </w:r>
      <w:r w:rsidR="00D76B5C" w:rsidRPr="00D76B5C">
        <w:rPr>
          <w:sz w:val="24"/>
          <w:szCs w:val="24"/>
        </w:rPr>
        <w:t>, sia che siate a bordo del vostro jet privato</w:t>
      </w:r>
      <w:r w:rsidR="00D76B5C">
        <w:rPr>
          <w:sz w:val="24"/>
          <w:szCs w:val="24"/>
        </w:rPr>
        <w:t>, il proprietario dell’aereo sarà chiamato a pagare l</w:t>
      </w:r>
      <w:r w:rsidR="005A5AA3">
        <w:rPr>
          <w:sz w:val="24"/>
          <w:szCs w:val="24"/>
        </w:rPr>
        <w:t>’immancabile</w:t>
      </w:r>
      <w:r w:rsidR="00D76B5C">
        <w:rPr>
          <w:sz w:val="24"/>
          <w:szCs w:val="24"/>
        </w:rPr>
        <w:t xml:space="preserve"> tassa di turno.</w:t>
      </w:r>
      <w:r w:rsidR="005A5AA3">
        <w:rPr>
          <w:sz w:val="24"/>
          <w:szCs w:val="24"/>
        </w:rPr>
        <w:t xml:space="preserve"> </w:t>
      </w:r>
      <w:r w:rsidR="003B7EAD">
        <w:rPr>
          <w:sz w:val="24"/>
          <w:szCs w:val="24"/>
        </w:rPr>
        <w:t xml:space="preserve"> Ora vi spiegheremo perché si paga, come si calcola e soprattutto vi diremo chi sono i vettori che pagano di più.</w:t>
      </w:r>
    </w:p>
    <w:p w:rsidR="00D76B5C" w:rsidRDefault="003B7EAD" w:rsidP="00315E50">
      <w:pPr>
        <w:spacing w:after="0"/>
        <w:rPr>
          <w:sz w:val="24"/>
          <w:szCs w:val="24"/>
        </w:rPr>
      </w:pPr>
      <w:r>
        <w:rPr>
          <w:sz w:val="24"/>
          <w:szCs w:val="24"/>
        </w:rPr>
        <w:t>Stiamo parlando delle tasse di radioassistenza al volo</w:t>
      </w:r>
      <w:r w:rsidR="00315E50">
        <w:rPr>
          <w:sz w:val="24"/>
          <w:szCs w:val="24"/>
        </w:rPr>
        <w:t xml:space="preserve">, quelle </w:t>
      </w:r>
      <w:proofErr w:type="spellStart"/>
      <w:r w:rsidR="00315E50" w:rsidRPr="00315E50">
        <w:rPr>
          <w:i/>
          <w:sz w:val="24"/>
          <w:szCs w:val="24"/>
        </w:rPr>
        <w:t>fees</w:t>
      </w:r>
      <w:proofErr w:type="spellEnd"/>
      <w:r w:rsidR="00315E50">
        <w:rPr>
          <w:sz w:val="24"/>
          <w:szCs w:val="24"/>
        </w:rPr>
        <w:t xml:space="preserve"> che s</w:t>
      </w:r>
      <w:r w:rsidR="005F3EAE">
        <w:rPr>
          <w:sz w:val="24"/>
          <w:szCs w:val="24"/>
        </w:rPr>
        <w:t>ono dovute</w:t>
      </w:r>
      <w:r w:rsidR="00315E50">
        <w:rPr>
          <w:sz w:val="24"/>
          <w:szCs w:val="24"/>
        </w:rPr>
        <w:t xml:space="preserve"> per coprire il servizio </w:t>
      </w:r>
      <w:r w:rsidR="001672F7">
        <w:rPr>
          <w:sz w:val="24"/>
          <w:szCs w:val="24"/>
        </w:rPr>
        <w:t>fornito</w:t>
      </w:r>
      <w:r w:rsidR="00315E50">
        <w:rPr>
          <w:sz w:val="24"/>
          <w:szCs w:val="24"/>
        </w:rPr>
        <w:t xml:space="preserve"> </w:t>
      </w:r>
      <w:r w:rsidR="001672F7">
        <w:rPr>
          <w:sz w:val="24"/>
          <w:szCs w:val="24"/>
        </w:rPr>
        <w:t>da</w:t>
      </w:r>
      <w:r w:rsidR="00315E50">
        <w:rPr>
          <w:sz w:val="24"/>
          <w:szCs w:val="24"/>
        </w:rPr>
        <w:t>gli uomini-radar ovvero i controllori di volo.</w:t>
      </w:r>
      <w:r>
        <w:rPr>
          <w:sz w:val="24"/>
          <w:szCs w:val="24"/>
        </w:rPr>
        <w:t xml:space="preserve">  </w:t>
      </w:r>
    </w:p>
    <w:p w:rsidR="00315E50" w:rsidRDefault="00315E50" w:rsidP="00315E50">
      <w:pPr>
        <w:spacing w:after="0"/>
        <w:rPr>
          <w:sz w:val="24"/>
          <w:szCs w:val="24"/>
        </w:rPr>
      </w:pPr>
      <w:r>
        <w:rPr>
          <w:sz w:val="24"/>
          <w:szCs w:val="24"/>
        </w:rPr>
        <w:t>In pratica</w:t>
      </w:r>
      <w:r w:rsidR="00B50636">
        <w:rPr>
          <w:sz w:val="24"/>
          <w:szCs w:val="24"/>
        </w:rPr>
        <w:t xml:space="preserve"> durante il nostro volo </w:t>
      </w:r>
      <w:r>
        <w:rPr>
          <w:sz w:val="24"/>
          <w:szCs w:val="24"/>
        </w:rPr>
        <w:t xml:space="preserve"> ciascun centro di controllo</w:t>
      </w:r>
      <w:r w:rsidR="001672F7">
        <w:rPr>
          <w:sz w:val="24"/>
          <w:szCs w:val="24"/>
        </w:rPr>
        <w:t>,</w:t>
      </w:r>
      <w:r>
        <w:rPr>
          <w:sz w:val="24"/>
          <w:szCs w:val="24"/>
        </w:rPr>
        <w:t xml:space="preserve"> anche se solo sorvolato</w:t>
      </w:r>
      <w:r w:rsidR="001672F7">
        <w:rPr>
          <w:sz w:val="24"/>
          <w:szCs w:val="24"/>
        </w:rPr>
        <w:t>,</w:t>
      </w:r>
      <w:r>
        <w:rPr>
          <w:sz w:val="24"/>
          <w:szCs w:val="24"/>
        </w:rPr>
        <w:t xml:space="preserve"> invierà il suo conto alla compagnia aerea cui appartiene il velivolo.</w:t>
      </w:r>
    </w:p>
    <w:p w:rsidR="00315E50" w:rsidRDefault="00315E50" w:rsidP="00315E50">
      <w:pPr>
        <w:spacing w:after="0"/>
        <w:rPr>
          <w:sz w:val="24"/>
          <w:szCs w:val="24"/>
        </w:rPr>
      </w:pPr>
      <w:r>
        <w:rPr>
          <w:sz w:val="24"/>
          <w:szCs w:val="24"/>
        </w:rPr>
        <w:t>Il calcolo della tassa viene fatto tenendo conto dei seguenti fattori:</w:t>
      </w:r>
    </w:p>
    <w:p w:rsidR="005F3EAE" w:rsidRDefault="005F3EAE" w:rsidP="00315E50">
      <w:pPr>
        <w:spacing w:after="0"/>
        <w:rPr>
          <w:sz w:val="24"/>
          <w:szCs w:val="24"/>
        </w:rPr>
      </w:pPr>
    </w:p>
    <w:p w:rsidR="00315E50" w:rsidRDefault="00122907" w:rsidP="0012290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Peso dell’aeromobile; </w:t>
      </w:r>
    </w:p>
    <w:p w:rsidR="00122907" w:rsidRDefault="00122907" w:rsidP="0012290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Distanza percorsa all’interno del centro di controllo;</w:t>
      </w:r>
    </w:p>
    <w:p w:rsidR="008676A7" w:rsidRDefault="008676A7" w:rsidP="00122907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Coefficiente Unitario di tassazione</w:t>
      </w:r>
      <w:r w:rsidR="002063BF">
        <w:rPr>
          <w:sz w:val="24"/>
          <w:szCs w:val="24"/>
        </w:rPr>
        <w:t xml:space="preserve"> </w:t>
      </w:r>
      <w:r w:rsidR="002063BF" w:rsidRPr="002063BF">
        <w:rPr>
          <w:i/>
          <w:sz w:val="24"/>
          <w:szCs w:val="24"/>
        </w:rPr>
        <w:t>(stabilito da ogni Paese)</w:t>
      </w:r>
    </w:p>
    <w:p w:rsidR="005F3EAE" w:rsidRDefault="005F3EAE" w:rsidP="00A74576">
      <w:pPr>
        <w:spacing w:after="0"/>
        <w:rPr>
          <w:sz w:val="24"/>
          <w:szCs w:val="24"/>
        </w:rPr>
      </w:pPr>
    </w:p>
    <w:p w:rsidR="001672F7" w:rsidRDefault="00A74576" w:rsidP="00A745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Abbiamo semplificato i concetti perché in realtà il calcolo per determinare  quanto dovuto è basato sulla cosiddetta “formula di </w:t>
      </w:r>
      <w:proofErr w:type="spellStart"/>
      <w:r>
        <w:rPr>
          <w:sz w:val="24"/>
          <w:szCs w:val="24"/>
        </w:rPr>
        <w:t>Eurocontrol</w:t>
      </w:r>
      <w:proofErr w:type="spellEnd"/>
      <w:r>
        <w:rPr>
          <w:sz w:val="24"/>
          <w:szCs w:val="24"/>
        </w:rPr>
        <w:t xml:space="preserve">”  </w:t>
      </w:r>
      <w:r w:rsidR="005F3EAE">
        <w:rPr>
          <w:sz w:val="24"/>
          <w:szCs w:val="24"/>
        </w:rPr>
        <w:t xml:space="preserve">alquanto complessa </w:t>
      </w:r>
      <w:r w:rsidR="001672F7">
        <w:rPr>
          <w:sz w:val="24"/>
          <w:szCs w:val="24"/>
        </w:rPr>
        <w:t xml:space="preserve">che trovate esposta nella nota </w:t>
      </w:r>
      <w:r>
        <w:rPr>
          <w:sz w:val="24"/>
          <w:szCs w:val="24"/>
        </w:rPr>
        <w:t>(1)</w:t>
      </w:r>
      <w:r w:rsidR="001672F7">
        <w:rPr>
          <w:sz w:val="24"/>
          <w:szCs w:val="24"/>
        </w:rPr>
        <w:t>.</w:t>
      </w:r>
    </w:p>
    <w:p w:rsidR="00FF7916" w:rsidRDefault="001672F7" w:rsidP="00B26038">
      <w:pPr>
        <w:pStyle w:val="Nessunaspaziatura"/>
        <w:spacing w:line="276" w:lineRule="auto"/>
        <w:rPr>
          <w:sz w:val="24"/>
          <w:szCs w:val="24"/>
          <w:shd w:val="clear" w:color="auto" w:fill="FFFFFF"/>
        </w:rPr>
      </w:pPr>
      <w:r w:rsidRPr="002063BF">
        <w:rPr>
          <w:iCs/>
          <w:sz w:val="24"/>
          <w:szCs w:val="24"/>
          <w:shd w:val="clear" w:color="auto" w:fill="FFFFFF"/>
        </w:rPr>
        <w:t>EUROCONTROL  na</w:t>
      </w:r>
      <w:r w:rsidR="005F3EAE" w:rsidRPr="002063BF">
        <w:rPr>
          <w:iCs/>
          <w:sz w:val="24"/>
          <w:szCs w:val="24"/>
          <w:shd w:val="clear" w:color="auto" w:fill="FFFFFF"/>
        </w:rPr>
        <w:t>sce</w:t>
      </w:r>
      <w:r w:rsidRPr="002063BF">
        <w:rPr>
          <w:iCs/>
          <w:sz w:val="24"/>
          <w:szCs w:val="24"/>
          <w:shd w:val="clear" w:color="auto" w:fill="FFFFFF"/>
        </w:rPr>
        <w:t xml:space="preserve"> da una convenzione che risale al</w:t>
      </w:r>
      <w:r w:rsidRPr="002063BF">
        <w:rPr>
          <w:sz w:val="24"/>
          <w:szCs w:val="24"/>
          <w:shd w:val="clear" w:color="auto" w:fill="FFFFFF"/>
        </w:rPr>
        <w:t xml:space="preserve"> dicembre 1960, successivamente oggetto di</w:t>
      </w:r>
      <w:r w:rsidR="005F3EAE" w:rsidRPr="002063BF">
        <w:rPr>
          <w:sz w:val="24"/>
          <w:szCs w:val="24"/>
          <w:shd w:val="clear" w:color="auto" w:fill="FFFFFF"/>
        </w:rPr>
        <w:t xml:space="preserve"> varie</w:t>
      </w:r>
      <w:r w:rsidRPr="002063BF">
        <w:rPr>
          <w:sz w:val="24"/>
          <w:szCs w:val="24"/>
          <w:shd w:val="clear" w:color="auto" w:fill="FFFFFF"/>
        </w:rPr>
        <w:t xml:space="preserve"> revisioni</w:t>
      </w:r>
      <w:r w:rsidR="005F3EAE" w:rsidRPr="002063BF">
        <w:rPr>
          <w:sz w:val="24"/>
          <w:szCs w:val="24"/>
          <w:shd w:val="clear" w:color="auto" w:fill="FFFFFF"/>
        </w:rPr>
        <w:t>, la</w:t>
      </w:r>
      <w:r w:rsidRPr="002063BF">
        <w:rPr>
          <w:sz w:val="24"/>
          <w:szCs w:val="24"/>
          <w:shd w:val="clear" w:color="auto" w:fill="FFFFFF"/>
        </w:rPr>
        <w:t xml:space="preserve">  produce regolamentazione tecnica sulla sicurezza del traffico aereo e  gestisce fra l’altro il </w:t>
      </w:r>
      <w:proofErr w:type="spellStart"/>
      <w:r w:rsidRPr="002063BF">
        <w:rPr>
          <w:iCs/>
          <w:sz w:val="24"/>
          <w:szCs w:val="24"/>
          <w:shd w:val="clear" w:color="auto" w:fill="FFFFFF"/>
        </w:rPr>
        <w:t>Central</w:t>
      </w:r>
      <w:proofErr w:type="spellEnd"/>
      <w:r w:rsidRPr="002063BF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063BF">
        <w:rPr>
          <w:iCs/>
          <w:sz w:val="24"/>
          <w:szCs w:val="24"/>
          <w:shd w:val="clear" w:color="auto" w:fill="FFFFFF"/>
        </w:rPr>
        <w:t>Route</w:t>
      </w:r>
      <w:proofErr w:type="spellEnd"/>
      <w:r w:rsidRPr="002063BF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063BF">
        <w:rPr>
          <w:iCs/>
          <w:sz w:val="24"/>
          <w:szCs w:val="24"/>
          <w:shd w:val="clear" w:color="auto" w:fill="FFFFFF"/>
        </w:rPr>
        <w:t>Charges</w:t>
      </w:r>
      <w:proofErr w:type="spellEnd"/>
      <w:r w:rsidRPr="002063BF">
        <w:rPr>
          <w:iCs/>
          <w:sz w:val="24"/>
          <w:szCs w:val="24"/>
          <w:shd w:val="clear" w:color="auto" w:fill="FFFFFF"/>
        </w:rPr>
        <w:t xml:space="preserve"> Office</w:t>
      </w:r>
      <w:r w:rsidRPr="002063BF">
        <w:rPr>
          <w:sz w:val="24"/>
          <w:szCs w:val="24"/>
          <w:shd w:val="clear" w:color="auto" w:fill="FFFFFF"/>
        </w:rPr>
        <w:t xml:space="preserve"> (CRCO),ovvero l'ufficio che armonizza e riconcilia la fatturazione dei servizi, tra i soggetti deputati </w:t>
      </w:r>
      <w:r w:rsidR="005F3EAE" w:rsidRPr="002063BF">
        <w:rPr>
          <w:sz w:val="24"/>
          <w:szCs w:val="24"/>
          <w:shd w:val="clear" w:color="auto" w:fill="FFFFFF"/>
        </w:rPr>
        <w:t xml:space="preserve">al controllo del traffico aereo e le singole compagnie aeree. </w:t>
      </w:r>
    </w:p>
    <w:p w:rsidR="00B26038" w:rsidRDefault="00B26038" w:rsidP="00B26038">
      <w:pPr>
        <w:pStyle w:val="Nessunaspaziatura"/>
        <w:spacing w:line="276" w:lineRule="auto"/>
        <w:rPr>
          <w:sz w:val="24"/>
          <w:szCs w:val="24"/>
          <w:shd w:val="clear" w:color="auto" w:fill="FFFFFF"/>
        </w:rPr>
      </w:pPr>
    </w:p>
    <w:p w:rsidR="00B26038" w:rsidRDefault="00B26038" w:rsidP="00B26038">
      <w:pPr>
        <w:pStyle w:val="Nessunaspaziatura"/>
        <w:spacing w:line="276" w:lineRule="auto"/>
        <w:rPr>
          <w:sz w:val="24"/>
          <w:szCs w:val="24"/>
        </w:rPr>
      </w:pPr>
    </w:p>
    <w:p w:rsidR="005F3EAE" w:rsidRPr="001672F7" w:rsidRDefault="005F3EAE" w:rsidP="00B26038">
      <w:pPr>
        <w:pStyle w:val="Nessunaspaziatura"/>
        <w:jc w:val="center"/>
      </w:pPr>
      <w:r w:rsidRPr="005F3EAE">
        <w:rPr>
          <w:noProof/>
          <w:bdr w:val="single" w:sz="12" w:space="0" w:color="auto"/>
          <w:lang w:eastAsia="it-IT"/>
        </w:rPr>
        <w:drawing>
          <wp:inline distT="0" distB="0" distL="0" distR="0">
            <wp:extent cx="2455560" cy="1908000"/>
            <wp:effectExtent l="19050" t="0" r="1890" b="0"/>
            <wp:docPr id="2" name="Immagine 0" descr="eurocontrol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controlImmag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56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E62" w:rsidRDefault="00EF1E62" w:rsidP="00315E50">
      <w:pPr>
        <w:spacing w:after="0"/>
        <w:rPr>
          <w:sz w:val="24"/>
          <w:szCs w:val="24"/>
        </w:rPr>
      </w:pPr>
    </w:p>
    <w:p w:rsidR="002063BF" w:rsidRDefault="002063BF" w:rsidP="00315E50">
      <w:pPr>
        <w:spacing w:after="0"/>
        <w:rPr>
          <w:sz w:val="24"/>
          <w:szCs w:val="24"/>
        </w:rPr>
      </w:pPr>
    </w:p>
    <w:p w:rsidR="005F3EAE" w:rsidRDefault="00B26038" w:rsidP="00B26038">
      <w:pPr>
        <w:pStyle w:val="Nessunaspaziatura"/>
        <w:spacing w:line="276" w:lineRule="auto"/>
        <w:rPr>
          <w:sz w:val="24"/>
          <w:szCs w:val="24"/>
        </w:rPr>
      </w:pPr>
      <w:r w:rsidRPr="002063BF">
        <w:rPr>
          <w:sz w:val="24"/>
          <w:szCs w:val="24"/>
          <w:shd w:val="clear" w:color="auto" w:fill="FFFFFF"/>
        </w:rPr>
        <w:lastRenderedPageBreak/>
        <w:t>Sono i singoli operatori nazionali,</w:t>
      </w:r>
      <w:r w:rsidRPr="002063BF">
        <w:rPr>
          <w:sz w:val="24"/>
          <w:szCs w:val="24"/>
        </w:rPr>
        <w:t xml:space="preserve">  In Italia l’ENAV che fornisce l’assistenza al volo, ha fatturare  il dovuto ed è </w:t>
      </w:r>
      <w:proofErr w:type="spellStart"/>
      <w:r w:rsidRPr="002063BF">
        <w:rPr>
          <w:sz w:val="24"/>
          <w:szCs w:val="24"/>
        </w:rPr>
        <w:t>Eurocontrol</w:t>
      </w:r>
      <w:proofErr w:type="spellEnd"/>
      <w:r w:rsidRPr="002063BF">
        <w:rPr>
          <w:sz w:val="24"/>
          <w:szCs w:val="24"/>
        </w:rPr>
        <w:t xml:space="preserve"> che provvede a</w:t>
      </w:r>
      <w:r>
        <w:rPr>
          <w:sz w:val="24"/>
          <w:szCs w:val="24"/>
        </w:rPr>
        <w:t>d operare</w:t>
      </w:r>
      <w:r w:rsidRPr="002063BF">
        <w:rPr>
          <w:sz w:val="24"/>
          <w:szCs w:val="24"/>
        </w:rPr>
        <w:t xml:space="preserve"> da stanza di compensazione fra gli enti nazionali di controllo e le compagnie aeree. Nella immagine </w:t>
      </w:r>
      <w:r>
        <w:rPr>
          <w:sz w:val="24"/>
          <w:szCs w:val="24"/>
        </w:rPr>
        <w:t>sopra riportata</w:t>
      </w:r>
      <w:r w:rsidRPr="002063BF">
        <w:rPr>
          <w:sz w:val="24"/>
          <w:szCs w:val="24"/>
        </w:rPr>
        <w:t xml:space="preserve"> vediamo chi sono</w:t>
      </w:r>
      <w:r>
        <w:rPr>
          <w:sz w:val="24"/>
          <w:szCs w:val="24"/>
        </w:rPr>
        <w:t xml:space="preserve"> </w:t>
      </w:r>
      <w:r w:rsidR="00EF1E62">
        <w:rPr>
          <w:sz w:val="24"/>
          <w:szCs w:val="24"/>
        </w:rPr>
        <w:t>gli Stati</w:t>
      </w:r>
      <w:r w:rsidR="00FF7916">
        <w:rPr>
          <w:sz w:val="24"/>
          <w:szCs w:val="24"/>
        </w:rPr>
        <w:t xml:space="preserve"> attualmente </w:t>
      </w:r>
      <w:r w:rsidR="00EF1E62">
        <w:rPr>
          <w:sz w:val="24"/>
          <w:szCs w:val="24"/>
        </w:rPr>
        <w:t xml:space="preserve"> aderenti ad </w:t>
      </w:r>
      <w:proofErr w:type="spellStart"/>
      <w:r w:rsidR="00EF1E62">
        <w:rPr>
          <w:sz w:val="24"/>
          <w:szCs w:val="24"/>
        </w:rPr>
        <w:t>Eurocontrol</w:t>
      </w:r>
      <w:proofErr w:type="spellEnd"/>
      <w:r w:rsidR="00EF1E62">
        <w:rPr>
          <w:sz w:val="24"/>
          <w:szCs w:val="24"/>
        </w:rPr>
        <w:t>.</w:t>
      </w:r>
    </w:p>
    <w:p w:rsidR="005F3EAE" w:rsidRPr="003942A6" w:rsidRDefault="005F3EAE" w:rsidP="00B26038">
      <w:pPr>
        <w:spacing w:after="0"/>
        <w:rPr>
          <w:color w:val="FF0000"/>
          <w:sz w:val="18"/>
          <w:szCs w:val="18"/>
        </w:rPr>
      </w:pPr>
      <w:r>
        <w:rPr>
          <w:sz w:val="24"/>
          <w:szCs w:val="24"/>
        </w:rPr>
        <w:t xml:space="preserve">E’ importante ricordare che </w:t>
      </w:r>
      <w:proofErr w:type="spellStart"/>
      <w:r>
        <w:rPr>
          <w:sz w:val="24"/>
          <w:szCs w:val="24"/>
        </w:rPr>
        <w:t>Eurocontrol</w:t>
      </w:r>
      <w:proofErr w:type="spellEnd"/>
      <w:r>
        <w:rPr>
          <w:sz w:val="24"/>
          <w:szCs w:val="24"/>
        </w:rPr>
        <w:t xml:space="preserve"> originariamente era nata per accorpare i centri di controllo dei Paesi europei, ma tale progetto non è mai andato in porto in quanto ogni Stato ha voluto mantenere la giurisdizione diretta del proprio spazio aereo</w:t>
      </w:r>
      <w:r w:rsidRPr="003942A6">
        <w:rPr>
          <w:sz w:val="18"/>
          <w:szCs w:val="18"/>
        </w:rPr>
        <w:t xml:space="preserve">. </w:t>
      </w:r>
      <w:r w:rsidRPr="003942A6">
        <w:rPr>
          <w:color w:val="FF0000"/>
          <w:sz w:val="18"/>
          <w:szCs w:val="18"/>
        </w:rPr>
        <w:t>(2)</w:t>
      </w:r>
    </w:p>
    <w:p w:rsidR="003942A6" w:rsidRDefault="003942A6" w:rsidP="00B260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Periodicamente </w:t>
      </w:r>
      <w:proofErr w:type="spellStart"/>
      <w:r>
        <w:rPr>
          <w:sz w:val="24"/>
          <w:szCs w:val="24"/>
        </w:rPr>
        <w:t>Eurocontrol</w:t>
      </w:r>
      <w:proofErr w:type="spellEnd"/>
      <w:r>
        <w:rPr>
          <w:sz w:val="24"/>
          <w:szCs w:val="24"/>
        </w:rPr>
        <w:t xml:space="preserve"> pubblica statistiche e dati sulla sua attività ed una fra le più interessanti pubblicazioni riguarda la graduatoria fra i maggiori contribuenti di tasse. Ebbene secondo la più recente circolare emessa </w:t>
      </w:r>
      <w:r w:rsidRPr="003942A6">
        <w:rPr>
          <w:color w:val="FF0000"/>
          <w:sz w:val="18"/>
          <w:szCs w:val="18"/>
        </w:rPr>
        <w:t>(3)</w:t>
      </w:r>
      <w:r>
        <w:rPr>
          <w:sz w:val="24"/>
          <w:szCs w:val="24"/>
        </w:rPr>
        <w:t xml:space="preserve"> il vettore che paga più tasse ad </w:t>
      </w:r>
      <w:proofErr w:type="spellStart"/>
      <w:r>
        <w:rPr>
          <w:sz w:val="24"/>
          <w:szCs w:val="24"/>
        </w:rPr>
        <w:t>Eurocontrol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è….ebben</w:t>
      </w:r>
      <w:r w:rsidR="00B579D5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si credi</w:t>
      </w:r>
      <w:r w:rsidR="00B579D5">
        <w:rPr>
          <w:sz w:val="24"/>
          <w:szCs w:val="24"/>
        </w:rPr>
        <w:t>amo avete indovinato, è Ryanair la quale durante i primi nove mesi dell’anno ha versato oltre 469 milioni di euro.</w:t>
      </w:r>
    </w:p>
    <w:p w:rsidR="003942A6" w:rsidRDefault="003942A6" w:rsidP="00315E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5E50" w:rsidRPr="00BC71E9" w:rsidRDefault="00315E50" w:rsidP="00315E50">
      <w:pPr>
        <w:spacing w:after="0"/>
        <w:rPr>
          <w:sz w:val="20"/>
          <w:szCs w:val="20"/>
        </w:rPr>
      </w:pPr>
      <w:r w:rsidRPr="00BC71E9">
        <w:rPr>
          <w:sz w:val="20"/>
          <w:szCs w:val="20"/>
        </w:rPr>
        <w:t>Periodo Gennaio:Agosto 2019:</w:t>
      </w:r>
    </w:p>
    <w:p w:rsidR="00315E50" w:rsidRPr="00BC71E9" w:rsidRDefault="00315E50" w:rsidP="00315E50">
      <w:pPr>
        <w:spacing w:after="0"/>
        <w:rPr>
          <w:sz w:val="20"/>
          <w:szCs w:val="20"/>
        </w:rPr>
      </w:pPr>
    </w:p>
    <w:p w:rsidR="00315E50" w:rsidRPr="00BC71E9" w:rsidRDefault="00315E50" w:rsidP="00315E50">
      <w:pPr>
        <w:spacing w:after="0"/>
        <w:rPr>
          <w:sz w:val="20"/>
          <w:szCs w:val="20"/>
        </w:rPr>
      </w:pPr>
      <w:r w:rsidRPr="00BC71E9">
        <w:rPr>
          <w:sz w:val="20"/>
          <w:szCs w:val="20"/>
        </w:rPr>
        <w:t>Ryanair</w:t>
      </w:r>
      <w:r w:rsidRPr="00BC71E9">
        <w:rPr>
          <w:sz w:val="20"/>
          <w:szCs w:val="20"/>
        </w:rPr>
        <w:tab/>
      </w:r>
      <w:r w:rsidRPr="00BC71E9">
        <w:rPr>
          <w:sz w:val="20"/>
          <w:szCs w:val="20"/>
        </w:rPr>
        <w:tab/>
      </w:r>
      <w:r w:rsidR="00BC71E9">
        <w:rPr>
          <w:sz w:val="20"/>
          <w:szCs w:val="20"/>
        </w:rPr>
        <w:tab/>
      </w:r>
      <w:r w:rsidRPr="00BC71E9">
        <w:rPr>
          <w:sz w:val="20"/>
          <w:szCs w:val="20"/>
        </w:rPr>
        <w:t>469.100.000</w:t>
      </w:r>
    </w:p>
    <w:p w:rsidR="00315E50" w:rsidRPr="00BC71E9" w:rsidRDefault="00315E50" w:rsidP="00315E50">
      <w:pPr>
        <w:spacing w:after="0"/>
        <w:rPr>
          <w:sz w:val="20"/>
          <w:szCs w:val="20"/>
        </w:rPr>
      </w:pPr>
      <w:proofErr w:type="spellStart"/>
      <w:r w:rsidRPr="00BC71E9">
        <w:rPr>
          <w:sz w:val="20"/>
          <w:szCs w:val="20"/>
        </w:rPr>
        <w:t>Easyjet</w:t>
      </w:r>
      <w:proofErr w:type="spellEnd"/>
      <w:r w:rsidRPr="00BC71E9">
        <w:rPr>
          <w:sz w:val="20"/>
          <w:szCs w:val="20"/>
        </w:rPr>
        <w:tab/>
      </w:r>
      <w:r w:rsidRPr="00BC71E9">
        <w:rPr>
          <w:sz w:val="20"/>
          <w:szCs w:val="20"/>
        </w:rPr>
        <w:tab/>
      </w:r>
      <w:r w:rsidRPr="00BC71E9">
        <w:rPr>
          <w:sz w:val="20"/>
          <w:szCs w:val="20"/>
        </w:rPr>
        <w:tab/>
        <w:t>306.300.000</w:t>
      </w:r>
    </w:p>
    <w:p w:rsidR="00315E50" w:rsidRPr="00BC71E9" w:rsidRDefault="00315E50" w:rsidP="00315E50">
      <w:pPr>
        <w:spacing w:after="0"/>
        <w:rPr>
          <w:sz w:val="20"/>
          <w:szCs w:val="20"/>
          <w:lang w:val="en-US"/>
        </w:rPr>
      </w:pPr>
      <w:r w:rsidRPr="00BC71E9">
        <w:rPr>
          <w:sz w:val="20"/>
          <w:szCs w:val="20"/>
          <w:lang w:val="en-US"/>
        </w:rPr>
        <w:t>Lufthansa</w:t>
      </w:r>
      <w:r w:rsidRPr="00BC71E9">
        <w:rPr>
          <w:sz w:val="20"/>
          <w:szCs w:val="20"/>
          <w:lang w:val="en-US"/>
        </w:rPr>
        <w:tab/>
      </w:r>
      <w:r w:rsidRPr="00BC71E9">
        <w:rPr>
          <w:sz w:val="20"/>
          <w:szCs w:val="20"/>
          <w:lang w:val="en-US"/>
        </w:rPr>
        <w:tab/>
        <w:t>257.100.000</w:t>
      </w:r>
    </w:p>
    <w:p w:rsidR="00315E50" w:rsidRPr="00BC71E9" w:rsidRDefault="00315E50" w:rsidP="00315E50">
      <w:pPr>
        <w:spacing w:after="0"/>
        <w:rPr>
          <w:sz w:val="20"/>
          <w:szCs w:val="20"/>
          <w:lang w:val="en-US"/>
        </w:rPr>
      </w:pPr>
      <w:r w:rsidRPr="00BC71E9">
        <w:rPr>
          <w:sz w:val="20"/>
          <w:szCs w:val="20"/>
          <w:lang w:val="en-US"/>
        </w:rPr>
        <w:t xml:space="preserve">British Airways </w:t>
      </w:r>
      <w:r w:rsidRPr="00BC71E9">
        <w:rPr>
          <w:sz w:val="20"/>
          <w:szCs w:val="20"/>
          <w:lang w:val="en-US"/>
        </w:rPr>
        <w:tab/>
      </w:r>
      <w:r w:rsidR="00BC71E9">
        <w:rPr>
          <w:sz w:val="20"/>
          <w:szCs w:val="20"/>
          <w:lang w:val="en-US"/>
        </w:rPr>
        <w:tab/>
      </w:r>
      <w:r w:rsidRPr="00BC71E9">
        <w:rPr>
          <w:sz w:val="20"/>
          <w:szCs w:val="20"/>
          <w:lang w:val="en-US"/>
        </w:rPr>
        <w:t>216.400.000</w:t>
      </w:r>
    </w:p>
    <w:p w:rsidR="00315E50" w:rsidRPr="00BC71E9" w:rsidRDefault="00315E50" w:rsidP="00315E50">
      <w:pPr>
        <w:spacing w:after="0"/>
        <w:rPr>
          <w:sz w:val="20"/>
          <w:szCs w:val="20"/>
          <w:lang w:val="en-US"/>
        </w:rPr>
      </w:pPr>
      <w:r w:rsidRPr="00BC71E9">
        <w:rPr>
          <w:sz w:val="20"/>
          <w:szCs w:val="20"/>
          <w:lang w:val="en-US"/>
        </w:rPr>
        <w:t>Turkish Airlines</w:t>
      </w:r>
      <w:r w:rsidRPr="00BC71E9">
        <w:rPr>
          <w:sz w:val="20"/>
          <w:szCs w:val="20"/>
          <w:lang w:val="en-US"/>
        </w:rPr>
        <w:tab/>
        <w:t xml:space="preserve"> </w:t>
      </w:r>
      <w:r w:rsidR="00BC71E9">
        <w:rPr>
          <w:sz w:val="20"/>
          <w:szCs w:val="20"/>
          <w:lang w:val="en-US"/>
        </w:rPr>
        <w:tab/>
      </w:r>
      <w:r w:rsidRPr="00BC71E9">
        <w:rPr>
          <w:sz w:val="20"/>
          <w:szCs w:val="20"/>
          <w:lang w:val="en-US"/>
        </w:rPr>
        <w:t>195.400.000</w:t>
      </w:r>
    </w:p>
    <w:p w:rsidR="00315E50" w:rsidRPr="00B26038" w:rsidRDefault="00315E50" w:rsidP="00315E50">
      <w:pPr>
        <w:spacing w:after="0"/>
        <w:rPr>
          <w:sz w:val="20"/>
          <w:szCs w:val="20"/>
        </w:rPr>
      </w:pPr>
      <w:r w:rsidRPr="00B26038">
        <w:rPr>
          <w:sz w:val="20"/>
          <w:szCs w:val="20"/>
        </w:rPr>
        <w:t>Air France</w:t>
      </w:r>
      <w:r w:rsidRPr="00B26038">
        <w:rPr>
          <w:sz w:val="20"/>
          <w:szCs w:val="20"/>
        </w:rPr>
        <w:tab/>
      </w:r>
      <w:r w:rsidRPr="00B26038">
        <w:rPr>
          <w:sz w:val="20"/>
          <w:szCs w:val="20"/>
        </w:rPr>
        <w:tab/>
        <w:t>178.500.000</w:t>
      </w:r>
    </w:p>
    <w:p w:rsidR="00315E50" w:rsidRPr="00B26038" w:rsidRDefault="00315E50" w:rsidP="00315E50">
      <w:pPr>
        <w:spacing w:after="0"/>
        <w:rPr>
          <w:sz w:val="20"/>
          <w:szCs w:val="20"/>
        </w:rPr>
      </w:pPr>
      <w:r w:rsidRPr="00B26038">
        <w:rPr>
          <w:sz w:val="20"/>
          <w:szCs w:val="20"/>
        </w:rPr>
        <w:t>Emirates</w:t>
      </w:r>
      <w:r w:rsidRPr="00B26038">
        <w:rPr>
          <w:sz w:val="20"/>
          <w:szCs w:val="20"/>
        </w:rPr>
        <w:tab/>
      </w:r>
      <w:r w:rsidRPr="00B26038">
        <w:rPr>
          <w:sz w:val="20"/>
          <w:szCs w:val="20"/>
        </w:rPr>
        <w:tab/>
        <w:t>146.100.000</w:t>
      </w:r>
    </w:p>
    <w:p w:rsidR="00315E50" w:rsidRPr="00B26038" w:rsidRDefault="00315E50" w:rsidP="00315E50">
      <w:pPr>
        <w:spacing w:after="0"/>
        <w:rPr>
          <w:sz w:val="20"/>
          <w:szCs w:val="20"/>
        </w:rPr>
      </w:pPr>
      <w:r w:rsidRPr="00B26038">
        <w:rPr>
          <w:sz w:val="20"/>
          <w:szCs w:val="20"/>
        </w:rPr>
        <w:t>TUI Gruppo</w:t>
      </w:r>
      <w:r w:rsidRPr="00B26038">
        <w:rPr>
          <w:sz w:val="20"/>
          <w:szCs w:val="20"/>
        </w:rPr>
        <w:tab/>
      </w:r>
      <w:r w:rsidRPr="00B26038">
        <w:rPr>
          <w:sz w:val="20"/>
          <w:szCs w:val="20"/>
        </w:rPr>
        <w:tab/>
        <w:t>145.400.000</w:t>
      </w:r>
    </w:p>
    <w:p w:rsidR="00315E50" w:rsidRPr="00B26038" w:rsidRDefault="00315E50" w:rsidP="00315E50">
      <w:pPr>
        <w:spacing w:after="0"/>
        <w:rPr>
          <w:sz w:val="20"/>
          <w:szCs w:val="20"/>
        </w:rPr>
      </w:pPr>
      <w:proofErr w:type="spellStart"/>
      <w:r w:rsidRPr="00B26038">
        <w:rPr>
          <w:sz w:val="20"/>
          <w:szCs w:val="20"/>
        </w:rPr>
        <w:t>Norwegian</w:t>
      </w:r>
      <w:proofErr w:type="spellEnd"/>
      <w:r w:rsidRPr="00B26038">
        <w:rPr>
          <w:sz w:val="20"/>
          <w:szCs w:val="20"/>
        </w:rPr>
        <w:tab/>
      </w:r>
      <w:r w:rsidRPr="00B26038">
        <w:rPr>
          <w:sz w:val="20"/>
          <w:szCs w:val="20"/>
        </w:rPr>
        <w:tab/>
        <w:t>139.000.000</w:t>
      </w:r>
    </w:p>
    <w:p w:rsidR="00315E50" w:rsidRPr="00B26038" w:rsidRDefault="00315E50" w:rsidP="00315E50">
      <w:pPr>
        <w:spacing w:after="0"/>
        <w:rPr>
          <w:sz w:val="20"/>
          <w:szCs w:val="20"/>
        </w:rPr>
      </w:pPr>
      <w:r w:rsidRPr="00B26038">
        <w:rPr>
          <w:sz w:val="20"/>
          <w:szCs w:val="20"/>
        </w:rPr>
        <w:t>Qatar Airways</w:t>
      </w:r>
      <w:r w:rsidRPr="00B26038">
        <w:rPr>
          <w:sz w:val="20"/>
          <w:szCs w:val="20"/>
        </w:rPr>
        <w:tab/>
      </w:r>
      <w:r w:rsidRPr="00B26038">
        <w:rPr>
          <w:sz w:val="20"/>
          <w:szCs w:val="20"/>
        </w:rPr>
        <w:tab/>
        <w:t>125.200.000</w:t>
      </w:r>
    </w:p>
    <w:p w:rsidR="00BC71E9" w:rsidRPr="00B26038" w:rsidRDefault="00BC71E9" w:rsidP="00315E50">
      <w:pPr>
        <w:spacing w:after="0"/>
        <w:rPr>
          <w:sz w:val="20"/>
          <w:szCs w:val="20"/>
        </w:rPr>
      </w:pPr>
    </w:p>
    <w:p w:rsidR="00167C3E" w:rsidRDefault="00BC71E9" w:rsidP="006B4A5A">
      <w:pPr>
        <w:spacing w:after="0"/>
        <w:rPr>
          <w:sz w:val="24"/>
          <w:szCs w:val="24"/>
        </w:rPr>
      </w:pPr>
      <w:r w:rsidRPr="00BC71E9">
        <w:rPr>
          <w:sz w:val="24"/>
          <w:szCs w:val="24"/>
        </w:rPr>
        <w:t>L’entità della cifra  non deve sorprendere in quanto se si analizza il bilancio chiuso al 31 marzo 2019 si troverà che sotto la voce “</w:t>
      </w:r>
      <w:proofErr w:type="spellStart"/>
      <w:r w:rsidRPr="00BC71E9">
        <w:rPr>
          <w:sz w:val="24"/>
          <w:szCs w:val="24"/>
        </w:rPr>
        <w:t>Route</w:t>
      </w:r>
      <w:proofErr w:type="spellEnd"/>
      <w:r w:rsidRPr="00BC71E9">
        <w:rPr>
          <w:sz w:val="24"/>
          <w:szCs w:val="24"/>
        </w:rPr>
        <w:t xml:space="preserve"> </w:t>
      </w:r>
      <w:proofErr w:type="spellStart"/>
      <w:r w:rsidRPr="00BC71E9">
        <w:rPr>
          <w:sz w:val="24"/>
          <w:szCs w:val="24"/>
        </w:rPr>
        <w:t>charges</w:t>
      </w:r>
      <w:proofErr w:type="spellEnd"/>
      <w:r w:rsidRPr="00BC71E9">
        <w:rPr>
          <w:sz w:val="24"/>
          <w:szCs w:val="24"/>
        </w:rPr>
        <w:t xml:space="preserve">” </w:t>
      </w:r>
      <w:r w:rsidR="00B26038">
        <w:rPr>
          <w:sz w:val="24"/>
          <w:szCs w:val="24"/>
        </w:rPr>
        <w:t xml:space="preserve">compare il notevole </w:t>
      </w:r>
      <w:r w:rsidRPr="00BC71E9">
        <w:rPr>
          <w:sz w:val="24"/>
          <w:szCs w:val="24"/>
        </w:rPr>
        <w:t>importo di 745.200.000</w:t>
      </w:r>
      <w:r w:rsidR="00B26038">
        <w:rPr>
          <w:sz w:val="24"/>
          <w:szCs w:val="24"/>
        </w:rPr>
        <w:t xml:space="preserve"> euro.</w:t>
      </w:r>
      <w:r w:rsidR="006B4A5A">
        <w:rPr>
          <w:sz w:val="24"/>
          <w:szCs w:val="24"/>
        </w:rPr>
        <w:t xml:space="preserve"> </w:t>
      </w:r>
      <w:r w:rsidR="00B579D5" w:rsidRPr="00BC71E9">
        <w:rPr>
          <w:sz w:val="24"/>
          <w:szCs w:val="24"/>
        </w:rPr>
        <w:t>Ovv</w:t>
      </w:r>
      <w:r w:rsidR="00B579D5">
        <w:rPr>
          <w:sz w:val="24"/>
          <w:szCs w:val="24"/>
        </w:rPr>
        <w:t xml:space="preserve">iamente in questa graduatoria troveremo ai vertici quei vettori che volano più </w:t>
      </w:r>
      <w:r w:rsidR="00B26038">
        <w:rPr>
          <w:sz w:val="24"/>
          <w:szCs w:val="24"/>
        </w:rPr>
        <w:t xml:space="preserve">intensamente </w:t>
      </w:r>
      <w:r w:rsidR="00B579D5">
        <w:rPr>
          <w:sz w:val="24"/>
          <w:szCs w:val="24"/>
        </w:rPr>
        <w:t xml:space="preserve">in Europa  e non vi è un vettore </w:t>
      </w:r>
      <w:r w:rsidR="002063BF">
        <w:rPr>
          <w:sz w:val="24"/>
          <w:szCs w:val="24"/>
        </w:rPr>
        <w:t>che possa battere</w:t>
      </w:r>
      <w:r w:rsidR="00B579D5">
        <w:rPr>
          <w:sz w:val="24"/>
          <w:szCs w:val="24"/>
        </w:rPr>
        <w:t xml:space="preserve"> Ryanair in questa graduatoria dal momento che tutti i suoi </w:t>
      </w:r>
      <w:r w:rsidR="002063BF">
        <w:rPr>
          <w:sz w:val="24"/>
          <w:szCs w:val="24"/>
        </w:rPr>
        <w:t xml:space="preserve">voli </w:t>
      </w:r>
      <w:r w:rsidR="00B579D5">
        <w:rPr>
          <w:sz w:val="24"/>
          <w:szCs w:val="24"/>
        </w:rPr>
        <w:t>vengono operati all’interno del continente. Per que</w:t>
      </w:r>
      <w:r w:rsidR="00B26038">
        <w:rPr>
          <w:sz w:val="24"/>
          <w:szCs w:val="24"/>
        </w:rPr>
        <w:t>lle aerol</w:t>
      </w:r>
      <w:r w:rsidR="00B579D5">
        <w:rPr>
          <w:sz w:val="24"/>
          <w:szCs w:val="24"/>
        </w:rPr>
        <w:t>i</w:t>
      </w:r>
      <w:r w:rsidR="00B26038">
        <w:rPr>
          <w:sz w:val="24"/>
          <w:szCs w:val="24"/>
        </w:rPr>
        <w:t>nee</w:t>
      </w:r>
      <w:r w:rsidR="00B579D5">
        <w:rPr>
          <w:sz w:val="24"/>
          <w:szCs w:val="24"/>
        </w:rPr>
        <w:t xml:space="preserve"> invece che operano principalmente rotte intercont</w:t>
      </w:r>
      <w:r w:rsidR="002063BF">
        <w:rPr>
          <w:sz w:val="24"/>
          <w:szCs w:val="24"/>
        </w:rPr>
        <w:t>i</w:t>
      </w:r>
      <w:r w:rsidR="00B579D5">
        <w:rPr>
          <w:sz w:val="24"/>
          <w:szCs w:val="24"/>
        </w:rPr>
        <w:t>ne</w:t>
      </w:r>
      <w:r w:rsidR="002063BF">
        <w:rPr>
          <w:sz w:val="24"/>
          <w:szCs w:val="24"/>
        </w:rPr>
        <w:t>n</w:t>
      </w:r>
      <w:r w:rsidR="00B579D5">
        <w:rPr>
          <w:sz w:val="24"/>
          <w:szCs w:val="24"/>
        </w:rPr>
        <w:t xml:space="preserve">tali il dovuto ad </w:t>
      </w:r>
      <w:proofErr w:type="spellStart"/>
      <w:r w:rsidR="00B579D5">
        <w:rPr>
          <w:sz w:val="24"/>
          <w:szCs w:val="24"/>
        </w:rPr>
        <w:t>Eurocontrol</w:t>
      </w:r>
      <w:proofErr w:type="spellEnd"/>
      <w:r w:rsidR="00B579D5">
        <w:rPr>
          <w:sz w:val="24"/>
          <w:szCs w:val="24"/>
        </w:rPr>
        <w:t xml:space="preserve"> tenderà a scendere.</w:t>
      </w:r>
    </w:p>
    <w:p w:rsidR="00B579D5" w:rsidRDefault="00B579D5">
      <w:pPr>
        <w:rPr>
          <w:sz w:val="24"/>
          <w:szCs w:val="24"/>
        </w:rPr>
      </w:pPr>
      <w:r>
        <w:rPr>
          <w:sz w:val="24"/>
          <w:szCs w:val="24"/>
        </w:rPr>
        <w:t xml:space="preserve">Altra graduatoria interessante pubblicata da </w:t>
      </w:r>
      <w:proofErr w:type="spellStart"/>
      <w:r>
        <w:rPr>
          <w:sz w:val="24"/>
          <w:szCs w:val="24"/>
        </w:rPr>
        <w:t>Eurocontrol</w:t>
      </w:r>
      <w:proofErr w:type="spellEnd"/>
      <w:r>
        <w:rPr>
          <w:sz w:val="24"/>
          <w:szCs w:val="24"/>
        </w:rPr>
        <w:t xml:space="preserve"> è quanto hanno incassato i singoli Stati </w:t>
      </w:r>
      <w:r w:rsidR="000E0B2A">
        <w:rPr>
          <w:sz w:val="24"/>
          <w:szCs w:val="24"/>
        </w:rPr>
        <w:t>per le</w:t>
      </w:r>
      <w:r>
        <w:rPr>
          <w:sz w:val="24"/>
          <w:szCs w:val="24"/>
        </w:rPr>
        <w:t xml:space="preserve"> tasse</w:t>
      </w:r>
      <w:r w:rsidR="000E0B2A">
        <w:rPr>
          <w:sz w:val="24"/>
          <w:szCs w:val="24"/>
        </w:rPr>
        <w:t xml:space="preserve"> di rotta</w:t>
      </w:r>
      <w:r>
        <w:rPr>
          <w:sz w:val="24"/>
          <w:szCs w:val="24"/>
        </w:rPr>
        <w:t>.</w:t>
      </w:r>
      <w:r w:rsidR="00EA09FF">
        <w:rPr>
          <w:sz w:val="24"/>
          <w:szCs w:val="24"/>
        </w:rPr>
        <w:t xml:space="preserve"> </w:t>
      </w:r>
      <w:r w:rsidR="002063BF">
        <w:rPr>
          <w:sz w:val="24"/>
          <w:szCs w:val="24"/>
        </w:rPr>
        <w:t xml:space="preserve"> </w:t>
      </w:r>
      <w:r w:rsidR="00B26038">
        <w:rPr>
          <w:sz w:val="24"/>
          <w:szCs w:val="24"/>
        </w:rPr>
        <w:t>Premesso che nella loro totalità esse, sempre nello stesso periodo,</w:t>
      </w:r>
      <w:r w:rsidR="00EA09FF">
        <w:rPr>
          <w:sz w:val="24"/>
          <w:szCs w:val="24"/>
        </w:rPr>
        <w:t xml:space="preserve"> sono assommate a 5.33 miliardi di euro</w:t>
      </w:r>
      <w:r w:rsidR="00B26038">
        <w:rPr>
          <w:sz w:val="24"/>
          <w:szCs w:val="24"/>
        </w:rPr>
        <w:t>, e</w:t>
      </w:r>
      <w:r>
        <w:rPr>
          <w:sz w:val="24"/>
          <w:szCs w:val="24"/>
        </w:rPr>
        <w:t>cco le prime 10 posizioni</w:t>
      </w:r>
      <w:r w:rsidR="000E0B2A">
        <w:rPr>
          <w:sz w:val="24"/>
          <w:szCs w:val="24"/>
        </w:rPr>
        <w:t xml:space="preserve"> </w:t>
      </w:r>
      <w:r w:rsidR="00B26038">
        <w:rPr>
          <w:sz w:val="24"/>
          <w:szCs w:val="24"/>
        </w:rPr>
        <w:t>(</w:t>
      </w:r>
      <w:r w:rsidR="000E0B2A">
        <w:rPr>
          <w:sz w:val="24"/>
          <w:szCs w:val="24"/>
        </w:rPr>
        <w:t>espresse in Euro</w:t>
      </w:r>
      <w:r w:rsidR="00B26038">
        <w:rPr>
          <w:sz w:val="24"/>
          <w:szCs w:val="24"/>
        </w:rPr>
        <w:t>):</w:t>
      </w:r>
    </w:p>
    <w:p w:rsidR="00BB5230" w:rsidRDefault="00BB5230" w:rsidP="00B579D5">
      <w:pPr>
        <w:spacing w:after="0"/>
        <w:rPr>
          <w:sz w:val="24"/>
          <w:szCs w:val="24"/>
        </w:rPr>
      </w:pPr>
      <w:r>
        <w:rPr>
          <w:sz w:val="24"/>
          <w:szCs w:val="24"/>
        </w:rPr>
        <w:t>Periodo Gennaio:Agosto 2019</w:t>
      </w:r>
    </w:p>
    <w:p w:rsidR="00BB5230" w:rsidRDefault="00BB5230" w:rsidP="00B579D5">
      <w:pPr>
        <w:spacing w:after="0"/>
        <w:rPr>
          <w:sz w:val="24"/>
          <w:szCs w:val="24"/>
        </w:rPr>
      </w:pPr>
    </w:p>
    <w:p w:rsidR="00B579D5" w:rsidRPr="00EF1E62" w:rsidRDefault="00B579D5" w:rsidP="00B579D5">
      <w:pPr>
        <w:spacing w:after="0"/>
        <w:rPr>
          <w:sz w:val="20"/>
          <w:szCs w:val="20"/>
        </w:rPr>
      </w:pPr>
      <w:r w:rsidRPr="00EF1E62">
        <w:rPr>
          <w:sz w:val="20"/>
          <w:szCs w:val="20"/>
        </w:rPr>
        <w:t>Francia</w:t>
      </w:r>
      <w:r w:rsidRPr="00EF1E62">
        <w:rPr>
          <w:sz w:val="20"/>
          <w:szCs w:val="20"/>
        </w:rPr>
        <w:tab/>
      </w:r>
      <w:r w:rsidRPr="00EF1E62">
        <w:rPr>
          <w:sz w:val="20"/>
          <w:szCs w:val="20"/>
        </w:rPr>
        <w:tab/>
        <w:t>900.600.000</w:t>
      </w:r>
    </w:p>
    <w:p w:rsidR="00B579D5" w:rsidRPr="00EF1E62" w:rsidRDefault="00B579D5" w:rsidP="00B579D5">
      <w:pPr>
        <w:spacing w:after="0"/>
        <w:rPr>
          <w:sz w:val="20"/>
          <w:szCs w:val="20"/>
        </w:rPr>
      </w:pPr>
      <w:r w:rsidRPr="00EF1E62">
        <w:rPr>
          <w:sz w:val="20"/>
          <w:szCs w:val="20"/>
        </w:rPr>
        <w:t>Germania</w:t>
      </w:r>
      <w:r w:rsidRPr="00EF1E62">
        <w:rPr>
          <w:sz w:val="20"/>
          <w:szCs w:val="20"/>
        </w:rPr>
        <w:tab/>
        <w:t>645.000.000</w:t>
      </w:r>
    </w:p>
    <w:p w:rsidR="00B579D5" w:rsidRPr="00EF1E62" w:rsidRDefault="00B579D5" w:rsidP="00B579D5">
      <w:pPr>
        <w:spacing w:after="0"/>
        <w:rPr>
          <w:sz w:val="20"/>
          <w:szCs w:val="20"/>
        </w:rPr>
      </w:pPr>
      <w:r w:rsidRPr="00EF1E62">
        <w:rPr>
          <w:sz w:val="20"/>
          <w:szCs w:val="20"/>
        </w:rPr>
        <w:t>Italia</w:t>
      </w:r>
      <w:r w:rsidRPr="00EF1E62">
        <w:rPr>
          <w:sz w:val="20"/>
          <w:szCs w:val="20"/>
        </w:rPr>
        <w:tab/>
      </w:r>
      <w:r w:rsidRPr="00EF1E62">
        <w:rPr>
          <w:sz w:val="20"/>
          <w:szCs w:val="20"/>
        </w:rPr>
        <w:tab/>
        <w:t>528.700.000</w:t>
      </w:r>
    </w:p>
    <w:p w:rsidR="00B579D5" w:rsidRPr="00EF1E62" w:rsidRDefault="00B579D5" w:rsidP="00B579D5">
      <w:pPr>
        <w:spacing w:after="0"/>
        <w:rPr>
          <w:sz w:val="20"/>
          <w:szCs w:val="20"/>
        </w:rPr>
      </w:pPr>
      <w:r w:rsidRPr="00EF1E62">
        <w:rPr>
          <w:sz w:val="20"/>
          <w:szCs w:val="20"/>
        </w:rPr>
        <w:t xml:space="preserve">Regno Unito </w:t>
      </w:r>
      <w:r w:rsidR="00EF1E62">
        <w:rPr>
          <w:sz w:val="20"/>
          <w:szCs w:val="20"/>
        </w:rPr>
        <w:tab/>
      </w:r>
      <w:r w:rsidR="002063BF">
        <w:rPr>
          <w:sz w:val="20"/>
          <w:szCs w:val="20"/>
        </w:rPr>
        <w:t xml:space="preserve"> </w:t>
      </w:r>
      <w:r w:rsidRPr="00EF1E62">
        <w:rPr>
          <w:sz w:val="20"/>
          <w:szCs w:val="20"/>
        </w:rPr>
        <w:t>495.700.000</w:t>
      </w:r>
    </w:p>
    <w:p w:rsidR="00B579D5" w:rsidRPr="00EF1E62" w:rsidRDefault="00B579D5" w:rsidP="00B579D5">
      <w:pPr>
        <w:spacing w:after="0"/>
        <w:rPr>
          <w:sz w:val="20"/>
          <w:szCs w:val="20"/>
        </w:rPr>
      </w:pPr>
      <w:r w:rsidRPr="00EF1E62">
        <w:rPr>
          <w:sz w:val="20"/>
          <w:szCs w:val="20"/>
        </w:rPr>
        <w:t>Spagna</w:t>
      </w:r>
      <w:r w:rsidRPr="00EF1E62">
        <w:rPr>
          <w:sz w:val="20"/>
          <w:szCs w:val="20"/>
        </w:rPr>
        <w:tab/>
      </w:r>
      <w:r w:rsidRPr="00EF1E62">
        <w:rPr>
          <w:sz w:val="20"/>
          <w:szCs w:val="20"/>
        </w:rPr>
        <w:tab/>
        <w:t>471.700.000</w:t>
      </w:r>
    </w:p>
    <w:p w:rsidR="00B579D5" w:rsidRPr="00EF1E62" w:rsidRDefault="00B579D5" w:rsidP="00B579D5">
      <w:pPr>
        <w:spacing w:after="0"/>
        <w:rPr>
          <w:sz w:val="20"/>
          <w:szCs w:val="20"/>
        </w:rPr>
      </w:pPr>
      <w:r w:rsidRPr="00EF1E62">
        <w:rPr>
          <w:sz w:val="20"/>
          <w:szCs w:val="20"/>
        </w:rPr>
        <w:t>Turchia</w:t>
      </w:r>
      <w:r w:rsidRPr="00EF1E62">
        <w:rPr>
          <w:sz w:val="20"/>
          <w:szCs w:val="20"/>
        </w:rPr>
        <w:tab/>
      </w:r>
      <w:r w:rsidR="00EF1E62">
        <w:rPr>
          <w:sz w:val="20"/>
          <w:szCs w:val="20"/>
        </w:rPr>
        <w:tab/>
      </w:r>
      <w:r w:rsidRPr="00EF1E62">
        <w:rPr>
          <w:sz w:val="20"/>
          <w:szCs w:val="20"/>
        </w:rPr>
        <w:t>266.900.000</w:t>
      </w:r>
    </w:p>
    <w:p w:rsidR="00B579D5" w:rsidRPr="00EF1E62" w:rsidRDefault="00B579D5" w:rsidP="00B579D5">
      <w:pPr>
        <w:spacing w:after="0"/>
        <w:rPr>
          <w:sz w:val="20"/>
          <w:szCs w:val="20"/>
        </w:rPr>
      </w:pPr>
      <w:r w:rsidRPr="00EF1E62">
        <w:rPr>
          <w:sz w:val="20"/>
          <w:szCs w:val="20"/>
        </w:rPr>
        <w:t>Austria</w:t>
      </w:r>
      <w:r w:rsidRPr="00EF1E62">
        <w:rPr>
          <w:sz w:val="20"/>
          <w:szCs w:val="20"/>
        </w:rPr>
        <w:tab/>
      </w:r>
      <w:r w:rsidRPr="00EF1E62">
        <w:rPr>
          <w:sz w:val="20"/>
          <w:szCs w:val="20"/>
        </w:rPr>
        <w:tab/>
        <w:t>151.000.000</w:t>
      </w:r>
    </w:p>
    <w:p w:rsidR="00B579D5" w:rsidRPr="00EF1E62" w:rsidRDefault="00B579D5" w:rsidP="00B579D5">
      <w:pPr>
        <w:spacing w:after="0"/>
        <w:rPr>
          <w:sz w:val="20"/>
          <w:szCs w:val="20"/>
        </w:rPr>
      </w:pPr>
      <w:r w:rsidRPr="00EF1E62">
        <w:rPr>
          <w:sz w:val="20"/>
          <w:szCs w:val="20"/>
        </w:rPr>
        <w:lastRenderedPageBreak/>
        <w:t>Polonia</w:t>
      </w:r>
      <w:r w:rsidRPr="00EF1E62">
        <w:rPr>
          <w:sz w:val="20"/>
          <w:szCs w:val="20"/>
        </w:rPr>
        <w:tab/>
      </w:r>
      <w:r w:rsidR="00EF1E62">
        <w:rPr>
          <w:sz w:val="20"/>
          <w:szCs w:val="20"/>
        </w:rPr>
        <w:tab/>
      </w:r>
      <w:r w:rsidRPr="00EF1E62">
        <w:rPr>
          <w:sz w:val="20"/>
          <w:szCs w:val="20"/>
        </w:rPr>
        <w:t>134.400.000</w:t>
      </w:r>
    </w:p>
    <w:p w:rsidR="00C6171C" w:rsidRPr="00EF1E62" w:rsidRDefault="00C6171C" w:rsidP="00B579D5">
      <w:pPr>
        <w:spacing w:after="0"/>
        <w:rPr>
          <w:sz w:val="20"/>
          <w:szCs w:val="20"/>
        </w:rPr>
      </w:pPr>
      <w:r w:rsidRPr="00EF1E62">
        <w:rPr>
          <w:sz w:val="20"/>
          <w:szCs w:val="20"/>
        </w:rPr>
        <w:t>Svezia</w:t>
      </w:r>
      <w:r w:rsidRPr="00EF1E62">
        <w:rPr>
          <w:sz w:val="20"/>
          <w:szCs w:val="20"/>
        </w:rPr>
        <w:tab/>
      </w:r>
      <w:r w:rsidRPr="00EF1E62">
        <w:rPr>
          <w:sz w:val="20"/>
          <w:szCs w:val="20"/>
        </w:rPr>
        <w:tab/>
        <w:t>129.400.000</w:t>
      </w:r>
    </w:p>
    <w:p w:rsidR="00C6171C" w:rsidRDefault="00C6171C" w:rsidP="00B579D5">
      <w:pPr>
        <w:spacing w:after="0"/>
        <w:rPr>
          <w:sz w:val="20"/>
          <w:szCs w:val="20"/>
        </w:rPr>
      </w:pPr>
      <w:r w:rsidRPr="00EF1E62">
        <w:rPr>
          <w:sz w:val="20"/>
          <w:szCs w:val="20"/>
        </w:rPr>
        <w:t>Olanda</w:t>
      </w:r>
      <w:r w:rsidRPr="00EF1E62">
        <w:rPr>
          <w:sz w:val="20"/>
          <w:szCs w:val="20"/>
        </w:rPr>
        <w:tab/>
      </w:r>
      <w:r w:rsidRPr="00EF1E62">
        <w:rPr>
          <w:sz w:val="20"/>
          <w:szCs w:val="20"/>
        </w:rPr>
        <w:tab/>
        <w:t>128.000.000</w:t>
      </w:r>
    </w:p>
    <w:p w:rsidR="00B26038" w:rsidRPr="00EF1E62" w:rsidRDefault="00B26038" w:rsidP="00B579D5">
      <w:pPr>
        <w:spacing w:after="0"/>
        <w:rPr>
          <w:sz w:val="20"/>
          <w:szCs w:val="20"/>
        </w:rPr>
      </w:pPr>
    </w:p>
    <w:p w:rsidR="00C6171C" w:rsidRDefault="00EF1E62" w:rsidP="00B579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Nell’ultima immagine che pubblichiamo si può osservare </w:t>
      </w:r>
      <w:r w:rsidR="002063BF">
        <w:rPr>
          <w:sz w:val="24"/>
          <w:szCs w:val="24"/>
        </w:rPr>
        <w:t>a quanto ammonti il Coefficiente di Tassazione (</w:t>
      </w:r>
      <w:proofErr w:type="spellStart"/>
      <w:r w:rsidR="002063BF">
        <w:rPr>
          <w:sz w:val="24"/>
          <w:szCs w:val="24"/>
        </w:rPr>
        <w:t>Unit</w:t>
      </w:r>
      <w:proofErr w:type="spellEnd"/>
      <w:r w:rsidR="002063BF">
        <w:rPr>
          <w:sz w:val="24"/>
          <w:szCs w:val="24"/>
        </w:rPr>
        <w:t xml:space="preserve"> Rate) che ogni anno viene fissato da ciascuno Stato. L’Italia con 77.96 euro si pone al secondo posto dopo la Svizzera.</w:t>
      </w:r>
    </w:p>
    <w:p w:rsidR="00EF1E62" w:rsidRDefault="00EF1E62" w:rsidP="00B579D5">
      <w:pPr>
        <w:spacing w:after="0"/>
        <w:rPr>
          <w:sz w:val="24"/>
          <w:szCs w:val="24"/>
        </w:rPr>
      </w:pPr>
    </w:p>
    <w:p w:rsidR="007974EA" w:rsidRDefault="002063BF" w:rsidP="002063BF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365633" cy="5004000"/>
            <wp:effectExtent l="19050" t="0" r="6217" b="0"/>
            <wp:docPr id="5" name="Immagine 4" descr="unit Rate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 RateImmag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633" cy="50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A5A" w:rsidRDefault="006B4A5A" w:rsidP="003942A6">
      <w:pPr>
        <w:spacing w:after="0"/>
        <w:rPr>
          <w:sz w:val="20"/>
          <w:szCs w:val="20"/>
        </w:rPr>
      </w:pPr>
    </w:p>
    <w:p w:rsidR="006B4A5A" w:rsidRDefault="006B4A5A" w:rsidP="003942A6">
      <w:pPr>
        <w:spacing w:after="0"/>
        <w:rPr>
          <w:sz w:val="20"/>
          <w:szCs w:val="20"/>
        </w:rPr>
      </w:pPr>
    </w:p>
    <w:p w:rsidR="00A74576" w:rsidRDefault="00A74576" w:rsidP="003942A6">
      <w:pPr>
        <w:spacing w:after="0"/>
        <w:rPr>
          <w:sz w:val="20"/>
          <w:szCs w:val="20"/>
        </w:rPr>
      </w:pPr>
      <w:r w:rsidRPr="008D64B6">
        <w:rPr>
          <w:sz w:val="20"/>
          <w:szCs w:val="20"/>
        </w:rPr>
        <w:t xml:space="preserve">(1) </w:t>
      </w:r>
      <w:proofErr w:type="spellStart"/>
      <w:r w:rsidRPr="008D64B6">
        <w:rPr>
          <w:sz w:val="20"/>
          <w:szCs w:val="20"/>
        </w:rPr>
        <w:t>N=P</w:t>
      </w:r>
      <w:proofErr w:type="spellEnd"/>
      <w:r w:rsidR="008D64B6" w:rsidRPr="008D64B6">
        <w:rPr>
          <w:sz w:val="20"/>
          <w:szCs w:val="20"/>
        </w:rPr>
        <w:t xml:space="preserve"> </w:t>
      </w:r>
      <w:r w:rsidRPr="008D64B6">
        <w:rPr>
          <w:sz w:val="20"/>
          <w:szCs w:val="20"/>
        </w:rPr>
        <w:t>x</w:t>
      </w:r>
      <w:r w:rsidR="008D64B6" w:rsidRPr="008D64B6">
        <w:rPr>
          <w:sz w:val="20"/>
          <w:szCs w:val="20"/>
        </w:rPr>
        <w:t xml:space="preserve"> D x </w:t>
      </w:r>
      <w:r w:rsidRPr="008D64B6">
        <w:rPr>
          <w:sz w:val="20"/>
          <w:szCs w:val="20"/>
        </w:rPr>
        <w:t xml:space="preserve">W  ove N corrisponde </w:t>
      </w:r>
      <w:r w:rsidR="008D64B6" w:rsidRPr="008D64B6">
        <w:rPr>
          <w:sz w:val="20"/>
          <w:szCs w:val="20"/>
        </w:rPr>
        <w:t>alla tassa da pagare, P è il coefficiente stabilito da ciascun Paese, D è la distanza percorsa ridotta di 20 km, W è uguale alla radice quadrata del Peso massimo al decollo (MTOW) diviso 50.</w:t>
      </w:r>
    </w:p>
    <w:p w:rsidR="005F3EAE" w:rsidRDefault="005F3EAE" w:rsidP="003942A6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3942A6">
        <w:rPr>
          <w:sz w:val="20"/>
          <w:szCs w:val="20"/>
        </w:rPr>
        <w:t>(2)</w:t>
      </w:r>
      <w:r w:rsidRPr="003942A6">
        <w:rPr>
          <w:rFonts w:cs="Arial"/>
          <w:sz w:val="20"/>
          <w:szCs w:val="20"/>
          <w:shd w:val="clear" w:color="auto" w:fill="FFFFFF"/>
        </w:rPr>
        <w:t xml:space="preserve"> Dell’idea originale di unificare il controllo di più spazi aerei rimane in vigore la Maastricht Upper Area </w:t>
      </w:r>
      <w:proofErr w:type="spellStart"/>
      <w:r w:rsidRPr="003942A6">
        <w:rPr>
          <w:rFonts w:cs="Arial"/>
          <w:sz w:val="20"/>
          <w:szCs w:val="20"/>
          <w:shd w:val="clear" w:color="auto" w:fill="FFFFFF"/>
        </w:rPr>
        <w:t>Control</w:t>
      </w:r>
      <w:proofErr w:type="spellEnd"/>
      <w:r w:rsidRPr="003942A6">
        <w:rPr>
          <w:rFonts w:cs="Arial"/>
          <w:sz w:val="20"/>
          <w:szCs w:val="20"/>
          <w:shd w:val="clear" w:color="auto" w:fill="FFFFFF"/>
        </w:rPr>
        <w:t xml:space="preserve"> Centre (MUAC),</w:t>
      </w:r>
      <w:r w:rsidR="003942A6" w:rsidRPr="003942A6">
        <w:rPr>
          <w:rFonts w:cs="Arial"/>
          <w:sz w:val="20"/>
          <w:szCs w:val="20"/>
          <w:shd w:val="clear" w:color="auto" w:fill="FFFFFF"/>
        </w:rPr>
        <w:t xml:space="preserve"> situata a</w:t>
      </w:r>
      <w:r w:rsidRPr="003942A6">
        <w:rPr>
          <w:rFonts w:cs="Arial"/>
          <w:sz w:val="20"/>
          <w:szCs w:val="20"/>
          <w:shd w:val="clear" w:color="auto" w:fill="FFFFFF"/>
        </w:rPr>
        <w:t> </w:t>
      </w:r>
      <w:hyperlink r:id="rId8" w:tooltip="Maastricht Aachen Airport" w:history="1">
        <w:r w:rsidRPr="003942A6">
          <w:rPr>
            <w:rStyle w:val="Collegamentoipertestuale"/>
            <w:rFonts w:cs="Arial"/>
            <w:color w:val="auto"/>
            <w:sz w:val="20"/>
            <w:szCs w:val="20"/>
            <w:u w:val="none"/>
            <w:shd w:val="clear" w:color="auto" w:fill="FFFFFF"/>
          </w:rPr>
          <w:t xml:space="preserve">Maastricht </w:t>
        </w:r>
        <w:proofErr w:type="spellStart"/>
        <w:r w:rsidRPr="003942A6">
          <w:rPr>
            <w:rStyle w:val="Collegamentoipertestuale"/>
            <w:rFonts w:cs="Arial"/>
            <w:color w:val="auto"/>
            <w:sz w:val="20"/>
            <w:szCs w:val="20"/>
            <w:u w:val="none"/>
            <w:shd w:val="clear" w:color="auto" w:fill="FFFFFF"/>
          </w:rPr>
          <w:t>Aachen</w:t>
        </w:r>
        <w:proofErr w:type="spellEnd"/>
        <w:r w:rsidRPr="003942A6">
          <w:rPr>
            <w:rStyle w:val="Collegamentoipertestuale"/>
            <w:rFonts w:cs="Arial"/>
            <w:color w:val="auto"/>
            <w:sz w:val="20"/>
            <w:szCs w:val="20"/>
            <w:u w:val="none"/>
            <w:shd w:val="clear" w:color="auto" w:fill="FFFFFF"/>
          </w:rPr>
          <w:t xml:space="preserve"> Airport</w:t>
        </w:r>
      </w:hyperlink>
      <w:r w:rsidRPr="003942A6">
        <w:rPr>
          <w:rFonts w:cs="Arial"/>
          <w:sz w:val="20"/>
          <w:szCs w:val="20"/>
          <w:shd w:val="clear" w:color="auto" w:fill="FFFFFF"/>
        </w:rPr>
        <w:t xml:space="preserve">, </w:t>
      </w:r>
      <w:r w:rsidR="003942A6">
        <w:rPr>
          <w:rFonts w:cs="Arial"/>
          <w:sz w:val="20"/>
          <w:szCs w:val="20"/>
          <w:shd w:val="clear" w:color="auto" w:fill="FFFFFF"/>
        </w:rPr>
        <w:t xml:space="preserve"> la quale provvede a gestire il traffico aereo al di sopra del livello di 24.500 piedi  del </w:t>
      </w:r>
      <w:hyperlink r:id="rId9" w:tooltip="Belgium" w:history="1">
        <w:r w:rsidRPr="003942A6">
          <w:rPr>
            <w:rStyle w:val="Collegamentoipertestuale"/>
            <w:rFonts w:cs="Arial"/>
            <w:color w:val="auto"/>
            <w:sz w:val="20"/>
            <w:szCs w:val="20"/>
            <w:u w:val="none"/>
            <w:shd w:val="clear" w:color="auto" w:fill="FFFFFF"/>
          </w:rPr>
          <w:t>Belgi</w:t>
        </w:r>
        <w:r w:rsidR="003942A6">
          <w:rPr>
            <w:rStyle w:val="Collegamentoipertestuale"/>
            <w:rFonts w:cs="Arial"/>
            <w:color w:val="auto"/>
            <w:sz w:val="20"/>
            <w:szCs w:val="20"/>
            <w:u w:val="none"/>
            <w:shd w:val="clear" w:color="auto" w:fill="FFFFFF"/>
          </w:rPr>
          <w:t>o</w:t>
        </w:r>
      </w:hyperlink>
      <w:r w:rsidRPr="003942A6">
        <w:rPr>
          <w:rFonts w:cs="Arial"/>
          <w:sz w:val="20"/>
          <w:szCs w:val="20"/>
          <w:shd w:val="clear" w:color="auto" w:fill="FFFFFF"/>
        </w:rPr>
        <w:t> </w:t>
      </w:r>
      <w:hyperlink r:id="rId10" w:tooltip="Luxembourg" w:history="1">
        <w:r w:rsidRPr="003942A6">
          <w:rPr>
            <w:rStyle w:val="Collegamentoipertestuale"/>
            <w:rFonts w:cs="Arial"/>
            <w:color w:val="auto"/>
            <w:sz w:val="20"/>
            <w:szCs w:val="20"/>
            <w:u w:val="none"/>
            <w:shd w:val="clear" w:color="auto" w:fill="FFFFFF"/>
          </w:rPr>
          <w:t>Lu</w:t>
        </w:r>
        <w:r w:rsidR="003942A6">
          <w:rPr>
            <w:rStyle w:val="Collegamentoipertestuale"/>
            <w:rFonts w:cs="Arial"/>
            <w:color w:val="auto"/>
            <w:sz w:val="20"/>
            <w:szCs w:val="20"/>
            <w:u w:val="none"/>
            <w:shd w:val="clear" w:color="auto" w:fill="FFFFFF"/>
          </w:rPr>
          <w:t>ssemburgo</w:t>
        </w:r>
      </w:hyperlink>
      <w:r w:rsidRPr="003942A6">
        <w:rPr>
          <w:rFonts w:cs="Arial"/>
          <w:sz w:val="20"/>
          <w:szCs w:val="20"/>
          <w:shd w:val="clear" w:color="auto" w:fill="FFFFFF"/>
        </w:rPr>
        <w:t>,  </w:t>
      </w:r>
      <w:r w:rsidR="006C4E28">
        <w:rPr>
          <w:rFonts w:cs="Arial"/>
          <w:sz w:val="20"/>
          <w:szCs w:val="20"/>
          <w:shd w:val="clear" w:color="auto" w:fill="FFFFFF"/>
        </w:rPr>
        <w:t>Olanda ed u</w:t>
      </w:r>
      <w:r w:rsidR="003942A6">
        <w:rPr>
          <w:rFonts w:cs="Arial"/>
          <w:sz w:val="20"/>
          <w:szCs w:val="20"/>
          <w:shd w:val="clear" w:color="auto" w:fill="FFFFFF"/>
        </w:rPr>
        <w:t>na</w:t>
      </w:r>
      <w:r w:rsidR="006C4E28">
        <w:rPr>
          <w:rFonts w:cs="Arial"/>
          <w:sz w:val="20"/>
          <w:szCs w:val="20"/>
          <w:shd w:val="clear" w:color="auto" w:fill="FFFFFF"/>
        </w:rPr>
        <w:t xml:space="preserve"> ristretta</w:t>
      </w:r>
      <w:r w:rsidR="003942A6">
        <w:rPr>
          <w:rFonts w:cs="Arial"/>
          <w:sz w:val="20"/>
          <w:szCs w:val="20"/>
          <w:shd w:val="clear" w:color="auto" w:fill="FFFFFF"/>
        </w:rPr>
        <w:t xml:space="preserve"> area a nord-ovest della</w:t>
      </w:r>
      <w:r w:rsidRPr="003942A6">
        <w:rPr>
          <w:rFonts w:cs="Arial"/>
          <w:sz w:val="20"/>
          <w:szCs w:val="20"/>
          <w:shd w:val="clear" w:color="auto" w:fill="FFFFFF"/>
        </w:rPr>
        <w:t> </w:t>
      </w:r>
      <w:hyperlink r:id="rId11" w:tooltip="Germany" w:history="1">
        <w:r w:rsidRPr="003942A6">
          <w:rPr>
            <w:rStyle w:val="Collegamentoipertestuale"/>
            <w:rFonts w:cs="Arial"/>
            <w:color w:val="auto"/>
            <w:sz w:val="20"/>
            <w:szCs w:val="20"/>
            <w:u w:val="none"/>
            <w:shd w:val="clear" w:color="auto" w:fill="FFFFFF"/>
          </w:rPr>
          <w:t>German</w:t>
        </w:r>
        <w:r w:rsidR="003942A6">
          <w:rPr>
            <w:rStyle w:val="Collegamentoipertestuale"/>
            <w:rFonts w:cs="Arial"/>
            <w:color w:val="auto"/>
            <w:sz w:val="20"/>
            <w:szCs w:val="20"/>
            <w:u w:val="none"/>
            <w:shd w:val="clear" w:color="auto" w:fill="FFFFFF"/>
          </w:rPr>
          <w:t>ia</w:t>
        </w:r>
      </w:hyperlink>
      <w:r w:rsidRPr="003942A6">
        <w:rPr>
          <w:rFonts w:cs="Arial"/>
          <w:sz w:val="20"/>
          <w:szCs w:val="20"/>
          <w:shd w:val="clear" w:color="auto" w:fill="FFFFFF"/>
        </w:rPr>
        <w:t>.</w:t>
      </w:r>
    </w:p>
    <w:p w:rsidR="003942A6" w:rsidRPr="00730D97" w:rsidRDefault="003942A6" w:rsidP="003942A6">
      <w:pPr>
        <w:spacing w:after="0"/>
        <w:rPr>
          <w:rFonts w:cs="Arial"/>
          <w:sz w:val="20"/>
          <w:szCs w:val="20"/>
          <w:shd w:val="clear" w:color="auto" w:fill="FFFFFF"/>
          <w:lang w:val="en-US"/>
        </w:rPr>
      </w:pPr>
      <w:r w:rsidRPr="00730D97">
        <w:rPr>
          <w:rFonts w:cs="Arial"/>
          <w:sz w:val="20"/>
          <w:szCs w:val="20"/>
          <w:shd w:val="clear" w:color="auto" w:fill="FFFFFF"/>
          <w:lang w:val="en-US"/>
        </w:rPr>
        <w:t xml:space="preserve">(3) </w:t>
      </w:r>
      <w:proofErr w:type="spellStart"/>
      <w:r w:rsidRPr="00730D97">
        <w:rPr>
          <w:rFonts w:cs="Arial"/>
          <w:sz w:val="20"/>
          <w:szCs w:val="20"/>
          <w:shd w:val="clear" w:color="auto" w:fill="FFFFFF"/>
          <w:lang w:val="en-US"/>
        </w:rPr>
        <w:t>Eurocontrol</w:t>
      </w:r>
      <w:proofErr w:type="spellEnd"/>
      <w:r w:rsidR="004F0586" w:rsidRPr="00730D97">
        <w:rPr>
          <w:rFonts w:cs="Arial"/>
          <w:sz w:val="20"/>
          <w:szCs w:val="20"/>
          <w:shd w:val="clear" w:color="auto" w:fill="FFFFFF"/>
          <w:lang w:val="en-US"/>
        </w:rPr>
        <w:t xml:space="preserve">, Aviation Intelligence Unit Top Stats, </w:t>
      </w:r>
      <w:proofErr w:type="spellStart"/>
      <w:r w:rsidR="004F0586" w:rsidRPr="00730D97">
        <w:rPr>
          <w:rFonts w:cs="Arial"/>
          <w:sz w:val="20"/>
          <w:szCs w:val="20"/>
          <w:shd w:val="clear" w:color="auto" w:fill="FFFFFF"/>
          <w:lang w:val="en-US"/>
        </w:rPr>
        <w:t>agosto</w:t>
      </w:r>
      <w:proofErr w:type="spellEnd"/>
      <w:r w:rsidR="004F0586" w:rsidRPr="00730D97">
        <w:rPr>
          <w:rFonts w:cs="Arial"/>
          <w:sz w:val="20"/>
          <w:szCs w:val="20"/>
          <w:shd w:val="clear" w:color="auto" w:fill="FFFFFF"/>
          <w:lang w:val="en-US"/>
        </w:rPr>
        <w:t xml:space="preserve"> 2019</w:t>
      </w:r>
      <w:r w:rsidRPr="00730D97">
        <w:rPr>
          <w:rFonts w:cs="Arial"/>
          <w:sz w:val="20"/>
          <w:szCs w:val="20"/>
          <w:shd w:val="clear" w:color="auto" w:fill="FFFFFF"/>
          <w:lang w:val="en-US"/>
        </w:rPr>
        <w:t xml:space="preserve"> </w:t>
      </w:r>
    </w:p>
    <w:p w:rsidR="00167C3E" w:rsidRPr="00730D97" w:rsidRDefault="00167C3E" w:rsidP="00B26038">
      <w:pPr>
        <w:rPr>
          <w:sz w:val="24"/>
          <w:szCs w:val="24"/>
          <w:lang w:val="en-US"/>
        </w:rPr>
      </w:pPr>
    </w:p>
    <w:p w:rsidR="00D76B5C" w:rsidRPr="006B4A5A" w:rsidRDefault="007974EA" w:rsidP="006B4A5A">
      <w:pPr>
        <w:jc w:val="center"/>
        <w:rPr>
          <w:b/>
          <w:i/>
          <w:color w:val="548DD4" w:themeColor="text2" w:themeTint="99"/>
          <w:lang w:val="en-US"/>
        </w:rPr>
      </w:pPr>
      <w:r w:rsidRPr="006C4E28">
        <w:rPr>
          <w:b/>
          <w:i/>
          <w:color w:val="548DD4" w:themeColor="text2" w:themeTint="99"/>
          <w:lang w:val="en-US"/>
        </w:rPr>
        <w:t>www.Aviation-Industry-News.com</w:t>
      </w:r>
    </w:p>
    <w:p w:rsidR="007974EA" w:rsidRPr="007974EA" w:rsidRDefault="007974EA">
      <w:pPr>
        <w:rPr>
          <w:sz w:val="16"/>
          <w:szCs w:val="16"/>
        </w:rPr>
      </w:pPr>
      <w:r>
        <w:rPr>
          <w:sz w:val="16"/>
          <w:szCs w:val="16"/>
        </w:rPr>
        <w:t xml:space="preserve">9 ottobre 2019   </w:t>
      </w:r>
    </w:p>
    <w:sectPr w:rsidR="007974EA" w:rsidRPr="007974EA" w:rsidSect="00E4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04AD"/>
    <w:multiLevelType w:val="hybridMultilevel"/>
    <w:tmpl w:val="0A28ED48"/>
    <w:lvl w:ilvl="0" w:tplc="A01CFD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C5803"/>
    <w:rsid w:val="000D3510"/>
    <w:rsid w:val="000E0B2A"/>
    <w:rsid w:val="000E560D"/>
    <w:rsid w:val="00122907"/>
    <w:rsid w:val="001672F7"/>
    <w:rsid w:val="00167C3E"/>
    <w:rsid w:val="002063BF"/>
    <w:rsid w:val="00315E50"/>
    <w:rsid w:val="003942A6"/>
    <w:rsid w:val="003B7EAD"/>
    <w:rsid w:val="004F0586"/>
    <w:rsid w:val="005A5AA3"/>
    <w:rsid w:val="005C6218"/>
    <w:rsid w:val="005F3EAE"/>
    <w:rsid w:val="00606D1F"/>
    <w:rsid w:val="006B4A5A"/>
    <w:rsid w:val="006C4E28"/>
    <w:rsid w:val="00730D97"/>
    <w:rsid w:val="007974EA"/>
    <w:rsid w:val="007A535C"/>
    <w:rsid w:val="008676A7"/>
    <w:rsid w:val="008C2522"/>
    <w:rsid w:val="008D64B6"/>
    <w:rsid w:val="00984BA1"/>
    <w:rsid w:val="0099129E"/>
    <w:rsid w:val="009F36E5"/>
    <w:rsid w:val="00A74576"/>
    <w:rsid w:val="00B26038"/>
    <w:rsid w:val="00B43955"/>
    <w:rsid w:val="00B50636"/>
    <w:rsid w:val="00B579D5"/>
    <w:rsid w:val="00BB5230"/>
    <w:rsid w:val="00BC71E9"/>
    <w:rsid w:val="00BD3387"/>
    <w:rsid w:val="00C6171C"/>
    <w:rsid w:val="00CA1BCD"/>
    <w:rsid w:val="00CC2E14"/>
    <w:rsid w:val="00D1478C"/>
    <w:rsid w:val="00D76B5C"/>
    <w:rsid w:val="00E2198A"/>
    <w:rsid w:val="00E230C6"/>
    <w:rsid w:val="00E45215"/>
    <w:rsid w:val="00EA09FF"/>
    <w:rsid w:val="00EC051E"/>
    <w:rsid w:val="00EC41F2"/>
    <w:rsid w:val="00EC5803"/>
    <w:rsid w:val="00EF1E62"/>
    <w:rsid w:val="00F871B1"/>
    <w:rsid w:val="00FC24CD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9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672F7"/>
    <w:rPr>
      <w:color w:val="0000FF"/>
      <w:u w:val="single"/>
    </w:rPr>
  </w:style>
  <w:style w:type="paragraph" w:styleId="Nessunaspaziatura">
    <w:name w:val="No Spacing"/>
    <w:uiPriority w:val="1"/>
    <w:qFormat/>
    <w:rsid w:val="002063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astricht_Aachen_Airp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n.wikipedia.org/wiki/German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n.wikipedia.org/wiki/Luxembou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elgiu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25</cp:revision>
  <dcterms:created xsi:type="dcterms:W3CDTF">2019-10-09T09:30:00Z</dcterms:created>
  <dcterms:modified xsi:type="dcterms:W3CDTF">2019-10-10T06:01:00Z</dcterms:modified>
</cp:coreProperties>
</file>