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38006" w14:textId="298792E9" w:rsidR="000B1833" w:rsidRPr="002341C1" w:rsidRDefault="000B1833" w:rsidP="000B1833">
      <w:pPr>
        <w:shd w:val="clear" w:color="auto" w:fill="FFFFFF" w:themeFill="background1"/>
        <w:spacing w:after="100" w:afterAutospacing="1" w:line="240" w:lineRule="auto"/>
        <w:rPr>
          <w:rFonts w:ascii="Titillium Web" w:eastAsia="Times New Roman" w:hAnsi="Titillium Web" w:cs="Times New Roman"/>
          <w:b/>
          <w:bCs/>
          <w:i/>
          <w:iCs/>
          <w:color w:val="4472C4" w:themeColor="accent1"/>
          <w:kern w:val="0"/>
          <w:sz w:val="20"/>
          <w:szCs w:val="20"/>
          <w:lang w:eastAsia="it-IT"/>
          <w14:ligatures w14:val="none"/>
        </w:rPr>
      </w:pPr>
      <w:r w:rsidRPr="002341C1">
        <w:rPr>
          <w:rFonts w:ascii="Titillium Web" w:eastAsia="Times New Roman" w:hAnsi="Titillium Web" w:cs="Times New Roman"/>
          <w:b/>
          <w:bCs/>
          <w:i/>
          <w:iCs/>
          <w:color w:val="4472C4" w:themeColor="accent1"/>
          <w:kern w:val="0"/>
          <w:sz w:val="20"/>
          <w:szCs w:val="20"/>
          <w:lang w:eastAsia="it-IT"/>
          <w14:ligatures w14:val="none"/>
        </w:rPr>
        <w:t>Aviation</w:t>
      </w:r>
      <w:r w:rsidR="002341C1" w:rsidRPr="002341C1">
        <w:rPr>
          <w:rFonts w:ascii="Titillium Web" w:eastAsia="Times New Roman" w:hAnsi="Titillium Web" w:cs="Times New Roman"/>
          <w:b/>
          <w:bCs/>
          <w:i/>
          <w:iCs/>
          <w:color w:val="4472C4" w:themeColor="accent1"/>
          <w:kern w:val="0"/>
          <w:sz w:val="20"/>
          <w:szCs w:val="20"/>
          <w:lang w:eastAsia="it-IT"/>
          <w14:ligatures w14:val="none"/>
        </w:rPr>
        <w:t xml:space="preserve"> Industry News</w:t>
      </w:r>
    </w:p>
    <w:p w14:paraId="624EAB63" w14:textId="03B9DD82" w:rsidR="008E7F56" w:rsidRPr="00541699" w:rsidRDefault="008E7F56" w:rsidP="000B1833">
      <w:pPr>
        <w:shd w:val="clear" w:color="auto" w:fill="FFFFFF" w:themeFill="background1"/>
        <w:spacing w:after="100" w:afterAutospacing="1" w:line="240" w:lineRule="auto"/>
        <w:ind w:left="708" w:firstLine="708"/>
        <w:rPr>
          <w:rFonts w:ascii="Titillium Web" w:eastAsia="Times New Roman" w:hAnsi="Titillium Web" w:cs="Times New Roman"/>
          <w:b/>
          <w:bCs/>
          <w:color w:val="4472C4" w:themeColor="accent1"/>
          <w:kern w:val="0"/>
          <w:sz w:val="28"/>
          <w:szCs w:val="28"/>
          <w:lang w:eastAsia="it-IT"/>
          <w14:ligatures w14:val="none"/>
        </w:rPr>
      </w:pPr>
      <w:r w:rsidRPr="00541699">
        <w:rPr>
          <w:rFonts w:ascii="Titillium Web" w:eastAsia="Times New Roman" w:hAnsi="Titillium Web" w:cs="Times New Roman"/>
          <w:b/>
          <w:bCs/>
          <w:color w:val="4472C4" w:themeColor="accent1"/>
          <w:kern w:val="0"/>
          <w:sz w:val="28"/>
          <w:szCs w:val="28"/>
          <w:lang w:eastAsia="it-IT"/>
          <w14:ligatures w14:val="none"/>
        </w:rPr>
        <w:t>A PROPOSITO DI BIGLIETTI AEREI “TROPPO CARI”</w:t>
      </w:r>
    </w:p>
    <w:p w14:paraId="537BC632" w14:textId="533A3E60" w:rsidR="008E7F56" w:rsidRDefault="008E7F56" w:rsidP="008E7F56">
      <w:pPr>
        <w:shd w:val="clear" w:color="auto" w:fill="FFFFFF" w:themeFill="background1"/>
        <w:spacing w:after="0" w:line="240" w:lineRule="auto"/>
        <w:rPr>
          <w:rFonts w:ascii="Titillium Web" w:eastAsia="Times New Roman" w:hAnsi="Titillium Web" w:cs="Times New Roman"/>
          <w:color w:val="212121"/>
          <w:kern w:val="0"/>
          <w:sz w:val="24"/>
          <w:szCs w:val="24"/>
          <w:lang w:eastAsia="it-IT"/>
          <w14:ligatures w14:val="none"/>
        </w:rPr>
      </w:pPr>
      <w:r>
        <w:rPr>
          <w:rFonts w:ascii="Titillium Web" w:eastAsia="Times New Roman" w:hAnsi="Titillium Web" w:cs="Times New Roman"/>
          <w:color w:val="212121"/>
          <w:kern w:val="0"/>
          <w:sz w:val="24"/>
          <w:szCs w:val="24"/>
          <w:lang w:eastAsia="it-IT"/>
          <w14:ligatures w14:val="none"/>
        </w:rPr>
        <w:t>Chi pensa che quanto paga il passeggero per salire su un aereo finisca tutto nelle casse della compagnia aerea, sbaglia di grosso.</w:t>
      </w:r>
    </w:p>
    <w:p w14:paraId="1B6FA165" w14:textId="58D56BE4" w:rsidR="008E7F56" w:rsidRDefault="008E7F56" w:rsidP="008E7F56">
      <w:pPr>
        <w:shd w:val="clear" w:color="auto" w:fill="FFFFFF" w:themeFill="background1"/>
        <w:spacing w:after="100" w:afterAutospacing="1" w:line="240" w:lineRule="auto"/>
        <w:rPr>
          <w:rFonts w:ascii="Titillium Web" w:eastAsia="Times New Roman" w:hAnsi="Titillium Web" w:cs="Times New Roman"/>
          <w:color w:val="212121"/>
          <w:kern w:val="0"/>
          <w:sz w:val="24"/>
          <w:szCs w:val="24"/>
          <w:lang w:eastAsia="it-IT"/>
          <w14:ligatures w14:val="none"/>
        </w:rPr>
      </w:pPr>
      <w:r>
        <w:rPr>
          <w:rFonts w:ascii="Titillium Web" w:eastAsia="Times New Roman" w:hAnsi="Titillium Web" w:cs="Times New Roman"/>
          <w:color w:val="212121"/>
          <w:kern w:val="0"/>
          <w:sz w:val="24"/>
          <w:szCs w:val="24"/>
          <w:lang w:eastAsia="it-IT"/>
          <w14:ligatures w14:val="none"/>
        </w:rPr>
        <w:t>Da troppo tempo ormai l’attenzione dei governi si è accentrata sulla possibilità di prendere soldi, in maniera alquanto occulta dobbiamo aggiungere, anche da chi acquista un biglietto per volare in qualsiasi destin</w:t>
      </w:r>
      <w:r w:rsidR="00F6669A">
        <w:rPr>
          <w:rFonts w:ascii="Titillium Web" w:eastAsia="Times New Roman" w:hAnsi="Titillium Web" w:cs="Times New Roman"/>
          <w:color w:val="212121"/>
          <w:kern w:val="0"/>
          <w:sz w:val="24"/>
          <w:szCs w:val="24"/>
          <w:lang w:eastAsia="it-IT"/>
          <w14:ligatures w14:val="none"/>
        </w:rPr>
        <w:t>a</w:t>
      </w:r>
      <w:r>
        <w:rPr>
          <w:rFonts w:ascii="Titillium Web" w:eastAsia="Times New Roman" w:hAnsi="Titillium Web" w:cs="Times New Roman"/>
          <w:color w:val="212121"/>
          <w:kern w:val="0"/>
          <w:sz w:val="24"/>
          <w:szCs w:val="24"/>
          <w:lang w:eastAsia="it-IT"/>
          <w14:ligatures w14:val="none"/>
        </w:rPr>
        <w:t>zione nazionale o estera non importa.  Il particolare poi che i soldi venga</w:t>
      </w:r>
      <w:r w:rsidR="00F6669A">
        <w:rPr>
          <w:rFonts w:ascii="Titillium Web" w:eastAsia="Times New Roman" w:hAnsi="Titillium Web" w:cs="Times New Roman"/>
          <w:color w:val="212121"/>
          <w:kern w:val="0"/>
          <w:sz w:val="24"/>
          <w:szCs w:val="24"/>
          <w:lang w:eastAsia="it-IT"/>
          <w14:ligatures w14:val="none"/>
        </w:rPr>
        <w:t>no</w:t>
      </w:r>
      <w:r>
        <w:rPr>
          <w:rFonts w:ascii="Titillium Web" w:eastAsia="Times New Roman" w:hAnsi="Titillium Web" w:cs="Times New Roman"/>
          <w:color w:val="212121"/>
          <w:kern w:val="0"/>
          <w:sz w:val="24"/>
          <w:szCs w:val="24"/>
          <w:lang w:eastAsia="it-IT"/>
          <w14:ligatures w14:val="none"/>
        </w:rPr>
        <w:t xml:space="preserve"> incassati dalla aerolinea al momento d</w:t>
      </w:r>
      <w:r w:rsidR="0088702B">
        <w:rPr>
          <w:rFonts w:ascii="Titillium Web" w:eastAsia="Times New Roman" w:hAnsi="Titillium Web" w:cs="Times New Roman"/>
          <w:color w:val="212121"/>
          <w:kern w:val="0"/>
          <w:sz w:val="24"/>
          <w:szCs w:val="24"/>
          <w:lang w:eastAsia="it-IT"/>
          <w14:ligatures w14:val="none"/>
        </w:rPr>
        <w:t>e</w:t>
      </w:r>
      <w:r>
        <w:rPr>
          <w:rFonts w:ascii="Titillium Web" w:eastAsia="Times New Roman" w:hAnsi="Titillium Web" w:cs="Times New Roman"/>
          <w:color w:val="212121"/>
          <w:kern w:val="0"/>
          <w:sz w:val="24"/>
          <w:szCs w:val="24"/>
          <w:lang w:eastAsia="it-IT"/>
          <w14:ligatures w14:val="none"/>
        </w:rPr>
        <w:t xml:space="preserve">lla vendita del biglietto costituisce un ottimo </w:t>
      </w:r>
      <w:r w:rsidR="002E411C">
        <w:rPr>
          <w:rFonts w:ascii="Titillium Web" w:eastAsia="Times New Roman" w:hAnsi="Titillium Web" w:cs="Times New Roman"/>
          <w:color w:val="212121"/>
          <w:kern w:val="0"/>
          <w:sz w:val="24"/>
          <w:szCs w:val="24"/>
          <w:lang w:eastAsia="it-IT"/>
          <w14:ligatures w14:val="none"/>
        </w:rPr>
        <w:t>espediente</w:t>
      </w:r>
      <w:r w:rsidR="003B7EA9">
        <w:rPr>
          <w:rFonts w:ascii="Titillium Web" w:eastAsia="Times New Roman" w:hAnsi="Titillium Web" w:cs="Times New Roman"/>
          <w:color w:val="212121"/>
          <w:kern w:val="0"/>
          <w:sz w:val="24"/>
          <w:szCs w:val="24"/>
          <w:lang w:eastAsia="it-IT"/>
          <w14:ligatures w14:val="none"/>
        </w:rPr>
        <w:t xml:space="preserve"> per</w:t>
      </w:r>
      <w:r>
        <w:rPr>
          <w:rFonts w:ascii="Titillium Web" w:eastAsia="Times New Roman" w:hAnsi="Titillium Web" w:cs="Times New Roman"/>
          <w:color w:val="212121"/>
          <w:kern w:val="0"/>
          <w:sz w:val="24"/>
          <w:szCs w:val="24"/>
          <w:lang w:eastAsia="it-IT"/>
          <w14:ligatures w14:val="none"/>
        </w:rPr>
        <w:t xml:space="preserve"> come </w:t>
      </w:r>
      <w:r w:rsidR="00F6669A">
        <w:rPr>
          <w:rFonts w:ascii="Titillium Web" w:eastAsia="Times New Roman" w:hAnsi="Titillium Web" w:cs="Times New Roman"/>
          <w:color w:val="212121"/>
          <w:kern w:val="0"/>
          <w:sz w:val="24"/>
          <w:szCs w:val="24"/>
          <w:lang w:eastAsia="it-IT"/>
          <w14:ligatures w14:val="none"/>
        </w:rPr>
        <w:t>“</w:t>
      </w:r>
      <w:r>
        <w:rPr>
          <w:rFonts w:ascii="Titillium Web" w:eastAsia="Times New Roman" w:hAnsi="Titillium Web" w:cs="Times New Roman"/>
          <w:color w:val="212121"/>
          <w:kern w:val="0"/>
          <w:sz w:val="24"/>
          <w:szCs w:val="24"/>
          <w:lang w:eastAsia="it-IT"/>
          <w14:ligatures w14:val="none"/>
        </w:rPr>
        <w:t>bidonare</w:t>
      </w:r>
      <w:r w:rsidR="00F6669A">
        <w:rPr>
          <w:rFonts w:ascii="Titillium Web" w:eastAsia="Times New Roman" w:hAnsi="Titillium Web" w:cs="Times New Roman"/>
          <w:color w:val="212121"/>
          <w:kern w:val="0"/>
          <w:sz w:val="24"/>
          <w:szCs w:val="24"/>
          <w:lang w:eastAsia="it-IT"/>
          <w14:ligatures w14:val="none"/>
        </w:rPr>
        <w:t>”</w:t>
      </w:r>
      <w:r>
        <w:rPr>
          <w:rFonts w:ascii="Titillium Web" w:eastAsia="Times New Roman" w:hAnsi="Titillium Web" w:cs="Times New Roman"/>
          <w:color w:val="212121"/>
          <w:kern w:val="0"/>
          <w:sz w:val="24"/>
          <w:szCs w:val="24"/>
          <w:lang w:eastAsia="it-IT"/>
          <w14:ligatures w14:val="none"/>
        </w:rPr>
        <w:t xml:space="preserve"> il passeggero facendogli credere che quanto da lui versato vada a finire nelle casse della </w:t>
      </w:r>
      <w:r w:rsidR="00F6669A">
        <w:rPr>
          <w:rFonts w:ascii="Titillium Web" w:eastAsia="Times New Roman" w:hAnsi="Titillium Web" w:cs="Times New Roman"/>
          <w:color w:val="212121"/>
          <w:kern w:val="0"/>
          <w:sz w:val="24"/>
          <w:szCs w:val="24"/>
          <w:lang w:eastAsia="it-IT"/>
          <w14:ligatures w14:val="none"/>
        </w:rPr>
        <w:t xml:space="preserve">“esosa” </w:t>
      </w:r>
      <w:r>
        <w:rPr>
          <w:rFonts w:ascii="Titillium Web" w:eastAsia="Times New Roman" w:hAnsi="Titillium Web" w:cs="Times New Roman"/>
          <w:color w:val="212121"/>
          <w:kern w:val="0"/>
          <w:sz w:val="24"/>
          <w:szCs w:val="24"/>
          <w:lang w:eastAsia="it-IT"/>
          <w14:ligatures w14:val="none"/>
        </w:rPr>
        <w:t xml:space="preserve">aerolinea. </w:t>
      </w:r>
    </w:p>
    <w:p w14:paraId="1756A9EC" w14:textId="43DC30E4" w:rsidR="00B3039C" w:rsidRPr="00E25BDC" w:rsidRDefault="00B3039C" w:rsidP="008E7F56">
      <w:pPr>
        <w:shd w:val="clear" w:color="auto" w:fill="FFFFFF" w:themeFill="background1"/>
        <w:spacing w:after="100" w:afterAutospacing="1" w:line="240" w:lineRule="auto"/>
        <w:rPr>
          <w:rFonts w:ascii="Titillium Web" w:eastAsia="Times New Roman" w:hAnsi="Titillium Web" w:cs="Times New Roman"/>
          <w:i/>
          <w:iCs/>
          <w:color w:val="212121"/>
          <w:kern w:val="0"/>
          <w:sz w:val="24"/>
          <w:szCs w:val="24"/>
          <w:lang w:eastAsia="it-IT"/>
          <w14:ligatures w14:val="none"/>
        </w:rPr>
      </w:pPr>
      <w:r>
        <w:rPr>
          <w:rFonts w:ascii="Titillium Web" w:eastAsia="Times New Roman" w:hAnsi="Titillium Web" w:cs="Times New Roman"/>
          <w:color w:val="212121"/>
          <w:kern w:val="0"/>
          <w:sz w:val="24"/>
          <w:szCs w:val="24"/>
          <w:lang w:eastAsia="it-IT"/>
          <w14:ligatures w14:val="none"/>
        </w:rPr>
        <w:t>Qualcuno l’aveva già detto</w:t>
      </w:r>
      <w:r w:rsidR="00E25BDC">
        <w:rPr>
          <w:rFonts w:ascii="Titillium Web" w:eastAsia="Times New Roman" w:hAnsi="Titillium Web" w:cs="Times New Roman"/>
          <w:color w:val="212121"/>
          <w:kern w:val="0"/>
          <w:sz w:val="24"/>
          <w:szCs w:val="24"/>
          <w:lang w:eastAsia="it-IT"/>
          <w14:ligatures w14:val="none"/>
        </w:rPr>
        <w:t xml:space="preserve"> </w:t>
      </w:r>
      <w:r w:rsidR="00765CAA">
        <w:rPr>
          <w:rFonts w:ascii="Titillium Web" w:eastAsia="Times New Roman" w:hAnsi="Titillium Web" w:cs="Times New Roman"/>
          <w:color w:val="212121"/>
          <w:kern w:val="0"/>
          <w:sz w:val="24"/>
          <w:szCs w:val="24"/>
          <w:lang w:eastAsia="it-IT"/>
          <w14:ligatures w14:val="none"/>
        </w:rPr>
        <w:t>quando venne varata la deregulation</w:t>
      </w:r>
      <w:r w:rsidR="00194CF9">
        <w:rPr>
          <w:rFonts w:ascii="Titillium Web" w:eastAsia="Times New Roman" w:hAnsi="Titillium Web" w:cs="Times New Roman"/>
          <w:color w:val="212121"/>
          <w:kern w:val="0"/>
          <w:sz w:val="24"/>
          <w:szCs w:val="24"/>
          <w:lang w:eastAsia="it-IT"/>
          <w14:ligatures w14:val="none"/>
        </w:rPr>
        <w:t xml:space="preserve"> che</w:t>
      </w:r>
      <w:r w:rsidR="00765CAA">
        <w:rPr>
          <w:rFonts w:ascii="Titillium Web" w:eastAsia="Times New Roman" w:hAnsi="Titillium Web" w:cs="Times New Roman"/>
          <w:color w:val="212121"/>
          <w:kern w:val="0"/>
          <w:sz w:val="24"/>
          <w:szCs w:val="24"/>
          <w:lang w:eastAsia="it-IT"/>
          <w14:ligatures w14:val="none"/>
        </w:rPr>
        <w:t xml:space="preserve">, </w:t>
      </w:r>
      <w:r w:rsidR="00765CAA" w:rsidRPr="00E25BDC">
        <w:rPr>
          <w:rFonts w:ascii="Titillium Web" w:eastAsia="Times New Roman" w:hAnsi="Titillium Web" w:cs="Times New Roman"/>
          <w:i/>
          <w:iCs/>
          <w:color w:val="212121"/>
          <w:kern w:val="0"/>
          <w:sz w:val="24"/>
          <w:szCs w:val="24"/>
          <w:lang w:eastAsia="it-IT"/>
          <w14:ligatures w14:val="none"/>
        </w:rPr>
        <w:t>le aerolinee erano le mucche da spremere</w:t>
      </w:r>
      <w:r w:rsidR="00E25BDC">
        <w:rPr>
          <w:rFonts w:ascii="Titillium Web" w:eastAsia="Times New Roman" w:hAnsi="Titillium Web" w:cs="Times New Roman"/>
          <w:i/>
          <w:iCs/>
          <w:color w:val="212121"/>
          <w:kern w:val="0"/>
          <w:sz w:val="24"/>
          <w:szCs w:val="24"/>
          <w:lang w:eastAsia="it-IT"/>
          <w14:ligatures w14:val="none"/>
        </w:rPr>
        <w:t xml:space="preserve"> </w:t>
      </w:r>
      <w:r w:rsidR="00E25BDC" w:rsidRPr="00E25BDC">
        <w:rPr>
          <w:rFonts w:ascii="Titillium Web" w:eastAsia="Times New Roman" w:hAnsi="Titillium Web" w:cs="Times New Roman"/>
          <w:i/>
          <w:iCs/>
          <w:color w:val="212121"/>
          <w:kern w:val="0"/>
          <w:sz w:val="24"/>
          <w:szCs w:val="24"/>
          <w:lang w:eastAsia="it-IT"/>
          <w14:ligatures w14:val="none"/>
        </w:rPr>
        <w:t>per far soldi</w:t>
      </w:r>
      <w:r w:rsidR="00E25BDC">
        <w:rPr>
          <w:rFonts w:ascii="Titillium Web" w:eastAsia="Times New Roman" w:hAnsi="Titillium Web" w:cs="Times New Roman"/>
          <w:i/>
          <w:iCs/>
          <w:color w:val="212121"/>
          <w:kern w:val="0"/>
          <w:sz w:val="24"/>
          <w:szCs w:val="24"/>
          <w:lang w:eastAsia="it-IT"/>
          <w14:ligatures w14:val="none"/>
        </w:rPr>
        <w:t>…</w:t>
      </w:r>
    </w:p>
    <w:p w14:paraId="2465B37E" w14:textId="09794F29" w:rsidR="00F6669A" w:rsidRPr="008E7F56" w:rsidRDefault="00F6669A" w:rsidP="008E7F56">
      <w:pPr>
        <w:shd w:val="clear" w:color="auto" w:fill="FFFFFF" w:themeFill="background1"/>
        <w:spacing w:after="100" w:afterAutospacing="1" w:line="240" w:lineRule="auto"/>
        <w:rPr>
          <w:rFonts w:ascii="Titillium Web" w:eastAsia="Times New Roman" w:hAnsi="Titillium Web" w:cs="Times New Roman"/>
          <w:color w:val="212121"/>
          <w:kern w:val="0"/>
          <w:sz w:val="24"/>
          <w:szCs w:val="24"/>
          <w:lang w:eastAsia="it-IT"/>
          <w14:ligatures w14:val="none"/>
        </w:rPr>
      </w:pPr>
      <w:r>
        <w:rPr>
          <w:rFonts w:ascii="Titillium Web" w:eastAsia="Times New Roman" w:hAnsi="Titillium Web" w:cs="Times New Roman"/>
          <w:color w:val="212121"/>
          <w:kern w:val="0"/>
          <w:sz w:val="24"/>
          <w:szCs w:val="24"/>
          <w:lang w:eastAsia="it-IT"/>
          <w14:ligatures w14:val="none"/>
        </w:rPr>
        <w:t xml:space="preserve">Fra i tanti ammennicoli che gravano sulla tariffa aerea vogliamo soffermarci sull’ </w:t>
      </w:r>
      <w:r w:rsidR="008E7F56" w:rsidRPr="008E7F56">
        <w:rPr>
          <w:rFonts w:ascii="Titillium Web" w:eastAsia="Times New Roman" w:hAnsi="Titillium Web" w:cs="Times New Roman"/>
          <w:b/>
          <w:bCs/>
          <w:color w:val="212121"/>
          <w:kern w:val="0"/>
          <w:sz w:val="24"/>
          <w:szCs w:val="24"/>
          <w:lang w:eastAsia="it-IT"/>
          <w14:ligatures w14:val="none"/>
        </w:rPr>
        <w:t>addizionale comunale sui diritti di imbarco dei passeggeri</w:t>
      </w:r>
      <w:r w:rsidR="008E7F56" w:rsidRPr="008E7F56">
        <w:rPr>
          <w:rFonts w:ascii="Titillium Web" w:eastAsia="Times New Roman" w:hAnsi="Titillium Web" w:cs="Times New Roman"/>
          <w:color w:val="212121"/>
          <w:kern w:val="0"/>
          <w:sz w:val="24"/>
          <w:szCs w:val="24"/>
          <w:lang w:eastAsia="it-IT"/>
          <w14:ligatures w14:val="none"/>
        </w:rPr>
        <w:t xml:space="preserve">, introdotta nel 2003 </w:t>
      </w:r>
      <w:r w:rsidRPr="00F6669A">
        <w:rPr>
          <w:rFonts w:ascii="Titillium Web" w:eastAsia="Times New Roman" w:hAnsi="Titillium Web" w:cs="Times New Roman"/>
          <w:color w:val="FF0000"/>
          <w:kern w:val="0"/>
          <w:sz w:val="18"/>
          <w:szCs w:val="18"/>
          <w:lang w:eastAsia="it-IT"/>
          <w14:ligatures w14:val="none"/>
        </w:rPr>
        <w:t>(1)</w:t>
      </w:r>
      <w:r w:rsidR="008E7F56" w:rsidRPr="008E7F56">
        <w:rPr>
          <w:rFonts w:ascii="Titillium Web" w:eastAsia="Times New Roman" w:hAnsi="Titillium Web" w:cs="Times New Roman"/>
          <w:color w:val="FF0000"/>
          <w:kern w:val="0"/>
          <w:sz w:val="24"/>
          <w:szCs w:val="24"/>
          <w:lang w:eastAsia="it-IT"/>
          <w14:ligatures w14:val="none"/>
        </w:rPr>
        <w:t xml:space="preserve"> </w:t>
      </w:r>
      <w:r w:rsidR="008E7F56" w:rsidRPr="008E7F56">
        <w:rPr>
          <w:rFonts w:ascii="Titillium Web" w:eastAsia="Times New Roman" w:hAnsi="Titillium Web" w:cs="Times New Roman"/>
          <w:color w:val="212121"/>
          <w:kern w:val="0"/>
          <w:sz w:val="24"/>
          <w:szCs w:val="24"/>
          <w:lang w:eastAsia="it-IT"/>
          <w14:ligatures w14:val="none"/>
        </w:rPr>
        <w:t>con un importo di 1 euro a passeggero imbarcato.</w:t>
      </w:r>
      <w:r>
        <w:rPr>
          <w:rFonts w:ascii="Titillium Web" w:eastAsia="Times New Roman" w:hAnsi="Titillium Web" w:cs="Times New Roman"/>
          <w:color w:val="212121"/>
          <w:kern w:val="0"/>
          <w:sz w:val="24"/>
          <w:szCs w:val="24"/>
          <w:lang w:eastAsia="it-IT"/>
          <w14:ligatures w14:val="none"/>
        </w:rPr>
        <w:t xml:space="preserve"> Ma attenzione questo è solo l’inizio della storia, continuate la lettura</w:t>
      </w:r>
      <w:r w:rsidR="00671BAD">
        <w:rPr>
          <w:rFonts w:ascii="Titillium Web" w:eastAsia="Times New Roman" w:hAnsi="Titillium Web" w:cs="Times New Roman"/>
          <w:color w:val="212121"/>
          <w:kern w:val="0"/>
          <w:sz w:val="24"/>
          <w:szCs w:val="24"/>
          <w:lang w:eastAsia="it-IT"/>
          <w14:ligatures w14:val="none"/>
        </w:rPr>
        <w:t>, non vi annoierete.</w:t>
      </w:r>
      <w:r>
        <w:rPr>
          <w:rFonts w:ascii="Titillium Web" w:eastAsia="Times New Roman" w:hAnsi="Titillium Web" w:cs="Times New Roman"/>
          <w:color w:val="212121"/>
          <w:kern w:val="0"/>
          <w:sz w:val="24"/>
          <w:szCs w:val="24"/>
          <w:lang w:eastAsia="it-IT"/>
          <w14:ligatures w14:val="none"/>
        </w:rPr>
        <w:t xml:space="preserve"> Precisa la normativa in merito:</w:t>
      </w:r>
    </w:p>
    <w:p w14:paraId="1ADB128B" w14:textId="77777777" w:rsidR="008E7F56" w:rsidRPr="008E7F56" w:rsidRDefault="008E7F56" w:rsidP="008E7F56">
      <w:pPr>
        <w:shd w:val="clear" w:color="auto" w:fill="FFFFFF" w:themeFill="background1"/>
        <w:spacing w:after="100" w:afterAutospacing="1" w:line="240" w:lineRule="auto"/>
        <w:rPr>
          <w:rFonts w:ascii="Titillium Web" w:eastAsia="Times New Roman" w:hAnsi="Titillium Web" w:cs="Times New Roman"/>
          <w:i/>
          <w:iCs/>
          <w:color w:val="212121"/>
          <w:kern w:val="0"/>
          <w:sz w:val="24"/>
          <w:szCs w:val="24"/>
          <w:lang w:eastAsia="it-IT"/>
          <w14:ligatures w14:val="none"/>
        </w:rPr>
      </w:pPr>
      <w:r w:rsidRPr="008E7F56">
        <w:rPr>
          <w:rFonts w:ascii="Titillium Web" w:eastAsia="Times New Roman" w:hAnsi="Titillium Web" w:cs="Times New Roman"/>
          <w:i/>
          <w:iCs/>
          <w:color w:val="212121"/>
          <w:kern w:val="0"/>
          <w:sz w:val="24"/>
          <w:szCs w:val="24"/>
          <w:lang w:eastAsia="it-IT"/>
          <w14:ligatures w14:val="none"/>
        </w:rPr>
        <w:t>La somma così riscossa, viene riassegnata quanto a 30 milioni di euro, in un apposito fondo istituito presso il Ministero delle infrastrutture e dei trasporti destinato a compensare l'ENAV S.p.a., secondo modalità regolate dal contratto di servizio per i costi sostenuti da ENAV S.p.a. per garantire la sicurezza ai propri impianti e per garantire la sicurezza operativa e, quanto alla residua quota, in un apposito fondo istituito presso il Ministero dell'interno e ripartito sulla base del rispettivo traffico aeroportuale secondo i seguenti criteri:</w:t>
      </w:r>
    </w:p>
    <w:p w14:paraId="61631737" w14:textId="77777777" w:rsidR="008E7F56" w:rsidRPr="008E7F56" w:rsidRDefault="008E7F56" w:rsidP="008E7F56">
      <w:pPr>
        <w:shd w:val="clear" w:color="auto" w:fill="FFFFFF" w:themeFill="background1"/>
        <w:spacing w:after="0" w:line="240" w:lineRule="auto"/>
        <w:rPr>
          <w:rFonts w:ascii="Titillium Web" w:eastAsia="Times New Roman" w:hAnsi="Titillium Web" w:cs="Times New Roman"/>
          <w:i/>
          <w:iCs/>
          <w:color w:val="212121"/>
          <w:kern w:val="0"/>
          <w:sz w:val="24"/>
          <w:szCs w:val="24"/>
          <w:lang w:eastAsia="it-IT"/>
          <w14:ligatures w14:val="none"/>
        </w:rPr>
      </w:pPr>
      <w:r w:rsidRPr="008E7F56">
        <w:rPr>
          <w:rFonts w:ascii="Titillium Web" w:eastAsia="Times New Roman" w:hAnsi="Titillium Web" w:cs="Times New Roman"/>
          <w:i/>
          <w:iCs/>
          <w:color w:val="212121"/>
          <w:kern w:val="0"/>
          <w:sz w:val="24"/>
          <w:szCs w:val="24"/>
          <w:lang w:eastAsia="it-IT"/>
          <w14:ligatures w14:val="none"/>
        </w:rPr>
        <w:t>a) il 40 per cento del totale a favore dei comuni del sedime aeroportuale o con lo stesso confinanti secondo la media delle seguenti percentuali: percentuale di superficie del territorio comunale inglobata nel recinto aeroportuale sul totale del sedime; percentuale della superficie totale del comune nel limite massimo di 100 chilometri quadrati; </w:t>
      </w:r>
    </w:p>
    <w:p w14:paraId="317E8614" w14:textId="77777777" w:rsidR="008E7F56" w:rsidRDefault="008E7F56" w:rsidP="008E7F56">
      <w:pPr>
        <w:shd w:val="clear" w:color="auto" w:fill="FFFFFF" w:themeFill="background1"/>
        <w:spacing w:after="0" w:line="240" w:lineRule="auto"/>
        <w:rPr>
          <w:rFonts w:ascii="Titillium Web" w:eastAsia="Times New Roman" w:hAnsi="Titillium Web" w:cs="Times New Roman"/>
          <w:i/>
          <w:iCs/>
          <w:color w:val="212121"/>
          <w:kern w:val="0"/>
          <w:sz w:val="24"/>
          <w:szCs w:val="24"/>
          <w:lang w:eastAsia="it-IT"/>
          <w14:ligatures w14:val="none"/>
        </w:rPr>
      </w:pPr>
      <w:r w:rsidRPr="008E7F56">
        <w:rPr>
          <w:rFonts w:ascii="Titillium Web" w:eastAsia="Times New Roman" w:hAnsi="Titillium Web" w:cs="Times New Roman"/>
          <w:i/>
          <w:iCs/>
          <w:color w:val="212121"/>
          <w:kern w:val="0"/>
          <w:sz w:val="24"/>
          <w:szCs w:val="24"/>
          <w:lang w:eastAsia="it-IT"/>
          <w14:ligatures w14:val="none"/>
        </w:rPr>
        <w:t>b) al fine di pervenire ad efficaci misure di tutela dell'incolumità delle persone e delle strutture, il 60 per cento del totale per il finanziamento di misure volte alla prevenzione e al contrasto della criminalità e al potenziamento della sicurezza nelle strutture aeroportuali e nelle principali stazioni ferroviarie. </w:t>
      </w:r>
    </w:p>
    <w:p w14:paraId="4452606F" w14:textId="77777777" w:rsidR="00F6669A" w:rsidRDefault="00F6669A" w:rsidP="008E7F56">
      <w:pPr>
        <w:shd w:val="clear" w:color="auto" w:fill="FFFFFF" w:themeFill="background1"/>
        <w:spacing w:after="0" w:line="240" w:lineRule="auto"/>
        <w:rPr>
          <w:rFonts w:ascii="Titillium Web" w:eastAsia="Times New Roman" w:hAnsi="Titillium Web" w:cs="Times New Roman"/>
          <w:color w:val="212121"/>
          <w:kern w:val="0"/>
          <w:sz w:val="24"/>
          <w:szCs w:val="24"/>
          <w:lang w:eastAsia="it-IT"/>
          <w14:ligatures w14:val="none"/>
        </w:rPr>
      </w:pPr>
    </w:p>
    <w:p w14:paraId="6A70EC6B" w14:textId="38EC658E" w:rsidR="00F6669A" w:rsidRPr="005D320A" w:rsidRDefault="00F6669A" w:rsidP="008E7F56">
      <w:pPr>
        <w:shd w:val="clear" w:color="auto" w:fill="FFFFFF" w:themeFill="background1"/>
        <w:spacing w:after="0" w:line="240" w:lineRule="auto"/>
        <w:rPr>
          <w:rFonts w:ascii="Titillium Web" w:eastAsia="Times New Roman" w:hAnsi="Titillium Web" w:cs="Times New Roman"/>
          <w:i/>
          <w:iCs/>
          <w:color w:val="FF0000"/>
          <w:kern w:val="0"/>
          <w:sz w:val="24"/>
          <w:szCs w:val="24"/>
          <w:lang w:eastAsia="it-IT"/>
          <w14:ligatures w14:val="none"/>
        </w:rPr>
      </w:pPr>
      <w:r w:rsidRPr="005D320A">
        <w:rPr>
          <w:rFonts w:ascii="Titillium Web" w:eastAsia="Times New Roman" w:hAnsi="Titillium Web" w:cs="Times New Roman"/>
          <w:color w:val="FF0000"/>
          <w:kern w:val="0"/>
          <w:sz w:val="24"/>
          <w:szCs w:val="24"/>
          <w:lang w:eastAsia="it-IT"/>
          <w14:ligatures w14:val="none"/>
        </w:rPr>
        <w:t>Ora il lettore deve sapere che l’ENAV</w:t>
      </w:r>
      <w:r w:rsidR="004830DA" w:rsidRPr="005D320A">
        <w:rPr>
          <w:rFonts w:ascii="Titillium Web" w:eastAsia="Times New Roman" w:hAnsi="Titillium Web" w:cs="Times New Roman"/>
          <w:color w:val="FF0000"/>
          <w:kern w:val="0"/>
          <w:sz w:val="24"/>
          <w:szCs w:val="24"/>
          <w:lang w:eastAsia="it-IT"/>
          <w14:ligatures w14:val="none"/>
        </w:rPr>
        <w:t>,</w:t>
      </w:r>
      <w:r w:rsidRPr="005D320A">
        <w:rPr>
          <w:rFonts w:ascii="Titillium Web" w:eastAsia="Times New Roman" w:hAnsi="Titillium Web" w:cs="Times New Roman"/>
          <w:color w:val="FF0000"/>
          <w:kern w:val="0"/>
          <w:sz w:val="24"/>
          <w:szCs w:val="24"/>
          <w:lang w:eastAsia="it-IT"/>
          <w14:ligatures w14:val="none"/>
        </w:rPr>
        <w:t xml:space="preserve"> Ente Nazionale Assistenza Vol</w:t>
      </w:r>
      <w:r w:rsidR="00297141" w:rsidRPr="005D320A">
        <w:rPr>
          <w:rFonts w:ascii="Titillium Web" w:eastAsia="Times New Roman" w:hAnsi="Titillium Web" w:cs="Times New Roman"/>
          <w:color w:val="FF0000"/>
          <w:kern w:val="0"/>
          <w:sz w:val="24"/>
          <w:szCs w:val="24"/>
          <w:lang w:eastAsia="it-IT"/>
          <w14:ligatures w14:val="none"/>
        </w:rPr>
        <w:t>o</w:t>
      </w:r>
      <w:r w:rsidRPr="005D320A">
        <w:rPr>
          <w:rFonts w:ascii="Titillium Web" w:eastAsia="Times New Roman" w:hAnsi="Titillium Web" w:cs="Times New Roman"/>
          <w:color w:val="FF0000"/>
          <w:kern w:val="0"/>
          <w:sz w:val="24"/>
          <w:szCs w:val="24"/>
          <w:lang w:eastAsia="it-IT"/>
          <w14:ligatures w14:val="none"/>
        </w:rPr>
        <w:t xml:space="preserve"> (i cosiddetti “uomini radar”) già applica ad agni volo tariffe per l’assistenza</w:t>
      </w:r>
      <w:r w:rsidR="004830DA" w:rsidRPr="005D320A">
        <w:rPr>
          <w:rFonts w:ascii="Titillium Web" w:eastAsia="Times New Roman" w:hAnsi="Titillium Web" w:cs="Times New Roman"/>
          <w:color w:val="FF0000"/>
          <w:kern w:val="0"/>
          <w:sz w:val="24"/>
          <w:szCs w:val="24"/>
          <w:lang w:eastAsia="it-IT"/>
          <w14:ligatures w14:val="none"/>
        </w:rPr>
        <w:t xml:space="preserve"> </w:t>
      </w:r>
      <w:proofErr w:type="gramStart"/>
      <w:r w:rsidR="004830DA" w:rsidRPr="005D320A">
        <w:rPr>
          <w:rFonts w:ascii="Titillium Web" w:eastAsia="Times New Roman" w:hAnsi="Titillium Web" w:cs="Times New Roman"/>
          <w:color w:val="FF0000"/>
          <w:kern w:val="0"/>
          <w:sz w:val="24"/>
          <w:szCs w:val="24"/>
          <w:lang w:eastAsia="it-IT"/>
          <w14:ligatures w14:val="none"/>
        </w:rPr>
        <w:t xml:space="preserve">prestata </w:t>
      </w:r>
      <w:r w:rsidRPr="005D320A">
        <w:rPr>
          <w:rFonts w:ascii="Titillium Web" w:eastAsia="Times New Roman" w:hAnsi="Titillium Web" w:cs="Times New Roman"/>
          <w:color w:val="FF0000"/>
          <w:kern w:val="0"/>
          <w:sz w:val="24"/>
          <w:szCs w:val="24"/>
          <w:lang w:eastAsia="it-IT"/>
          <w14:ligatures w14:val="none"/>
        </w:rPr>
        <w:t xml:space="preserve"> in</w:t>
      </w:r>
      <w:proofErr w:type="gramEnd"/>
      <w:r w:rsidRPr="005D320A">
        <w:rPr>
          <w:rFonts w:ascii="Titillium Web" w:eastAsia="Times New Roman" w:hAnsi="Titillium Web" w:cs="Times New Roman"/>
          <w:color w:val="FF0000"/>
          <w:kern w:val="0"/>
          <w:sz w:val="24"/>
          <w:szCs w:val="24"/>
          <w:lang w:eastAsia="it-IT"/>
          <w14:ligatures w14:val="none"/>
        </w:rPr>
        <w:t xml:space="preserve"> base alla </w:t>
      </w:r>
      <w:r w:rsidR="002E411C" w:rsidRPr="005D320A">
        <w:rPr>
          <w:rFonts w:ascii="Titillium Web" w:eastAsia="Times New Roman" w:hAnsi="Titillium Web" w:cs="Times New Roman"/>
          <w:color w:val="FF0000"/>
          <w:kern w:val="0"/>
          <w:sz w:val="24"/>
          <w:szCs w:val="24"/>
          <w:lang w:eastAsia="it-IT"/>
          <w14:ligatures w14:val="none"/>
        </w:rPr>
        <w:t>cosiddetta</w:t>
      </w:r>
      <w:r w:rsidRPr="005D320A">
        <w:rPr>
          <w:rFonts w:ascii="Titillium Web" w:eastAsia="Times New Roman" w:hAnsi="Titillium Web" w:cs="Times New Roman"/>
          <w:color w:val="FF0000"/>
          <w:kern w:val="0"/>
          <w:sz w:val="24"/>
          <w:szCs w:val="24"/>
          <w:lang w:eastAsia="it-IT"/>
          <w14:ligatures w14:val="none"/>
        </w:rPr>
        <w:t xml:space="preserve"> formula di Eurocontrol. Quale necessità vi sia di aggiungere a tale entrata anche un balzello a carico dei </w:t>
      </w:r>
      <w:r w:rsidRPr="005D320A">
        <w:rPr>
          <w:rFonts w:ascii="Titillium Web" w:eastAsia="Times New Roman" w:hAnsi="Titillium Web" w:cs="Times New Roman"/>
          <w:color w:val="FF0000"/>
          <w:kern w:val="0"/>
          <w:sz w:val="24"/>
          <w:szCs w:val="24"/>
          <w:lang w:eastAsia="it-IT"/>
          <w14:ligatures w14:val="none"/>
        </w:rPr>
        <w:lastRenderedPageBreak/>
        <w:t>passeggeri non è dato sapere.</w:t>
      </w:r>
      <w:r w:rsidR="00345248" w:rsidRPr="005D320A">
        <w:rPr>
          <w:rFonts w:ascii="Titillium Web" w:eastAsia="Times New Roman" w:hAnsi="Titillium Web" w:cs="Times New Roman"/>
          <w:color w:val="FF0000"/>
          <w:kern w:val="0"/>
          <w:sz w:val="24"/>
          <w:szCs w:val="24"/>
          <w:lang w:eastAsia="it-IT"/>
          <w14:ligatures w14:val="none"/>
        </w:rPr>
        <w:t xml:space="preserve"> </w:t>
      </w:r>
      <w:r w:rsidR="00297141" w:rsidRPr="005D320A">
        <w:rPr>
          <w:rFonts w:ascii="Titillium Web" w:eastAsia="Times New Roman" w:hAnsi="Titillium Web" w:cs="Times New Roman"/>
          <w:color w:val="FF0000"/>
          <w:kern w:val="0"/>
          <w:sz w:val="24"/>
          <w:szCs w:val="24"/>
          <w:lang w:eastAsia="it-IT"/>
          <w14:ligatures w14:val="none"/>
        </w:rPr>
        <w:t>Il mistero poi si infittisce</w:t>
      </w:r>
      <w:r w:rsidR="009A034D" w:rsidRPr="005D320A">
        <w:rPr>
          <w:rFonts w:ascii="Titillium Web" w:eastAsia="Times New Roman" w:hAnsi="Titillium Web" w:cs="Times New Roman"/>
          <w:color w:val="FF0000"/>
          <w:kern w:val="0"/>
          <w:sz w:val="24"/>
          <w:szCs w:val="24"/>
          <w:lang w:eastAsia="it-IT"/>
          <w14:ligatures w14:val="none"/>
        </w:rPr>
        <w:t xml:space="preserve"> </w:t>
      </w:r>
      <w:r w:rsidR="002E411C" w:rsidRPr="005D320A">
        <w:rPr>
          <w:rFonts w:ascii="Titillium Web" w:eastAsia="Times New Roman" w:hAnsi="Titillium Web" w:cs="Times New Roman"/>
          <w:color w:val="FF0000"/>
          <w:kern w:val="0"/>
          <w:sz w:val="24"/>
          <w:szCs w:val="24"/>
          <w:lang w:eastAsia="it-IT"/>
          <w14:ligatures w14:val="none"/>
        </w:rPr>
        <w:t>allorché</w:t>
      </w:r>
      <w:r w:rsidR="009A034D" w:rsidRPr="005D320A">
        <w:rPr>
          <w:rFonts w:ascii="Titillium Web" w:eastAsia="Times New Roman" w:hAnsi="Titillium Web" w:cs="Times New Roman"/>
          <w:color w:val="FF0000"/>
          <w:kern w:val="0"/>
          <w:sz w:val="24"/>
          <w:szCs w:val="24"/>
          <w:lang w:eastAsia="it-IT"/>
          <w14:ligatures w14:val="none"/>
        </w:rPr>
        <w:t xml:space="preserve"> apprendiamo ch</w:t>
      </w:r>
      <w:r w:rsidR="00345248" w:rsidRPr="005D320A">
        <w:rPr>
          <w:rFonts w:ascii="Titillium Web" w:eastAsia="Times New Roman" w:hAnsi="Titillium Web" w:cs="Times New Roman"/>
          <w:color w:val="FF0000"/>
          <w:kern w:val="0"/>
          <w:sz w:val="24"/>
          <w:szCs w:val="24"/>
          <w:lang w:eastAsia="it-IT"/>
          <w14:ligatures w14:val="none"/>
        </w:rPr>
        <w:t xml:space="preserve">e chi si imbarca da un aeroporto deve </w:t>
      </w:r>
      <w:proofErr w:type="gramStart"/>
      <w:r w:rsidR="00345248" w:rsidRPr="005D320A">
        <w:rPr>
          <w:rFonts w:ascii="Titillium Web" w:eastAsia="Times New Roman" w:hAnsi="Titillium Web" w:cs="Times New Roman"/>
          <w:color w:val="FF0000"/>
          <w:kern w:val="0"/>
          <w:sz w:val="24"/>
          <w:szCs w:val="24"/>
          <w:lang w:eastAsia="it-IT"/>
          <w14:ligatures w14:val="none"/>
        </w:rPr>
        <w:t>pagare</w:t>
      </w:r>
      <w:r w:rsidR="009A034D" w:rsidRPr="005D320A">
        <w:rPr>
          <w:rFonts w:ascii="Titillium Web" w:eastAsia="Times New Roman" w:hAnsi="Titillium Web" w:cs="Times New Roman"/>
          <w:color w:val="FF0000"/>
          <w:kern w:val="0"/>
          <w:sz w:val="24"/>
          <w:szCs w:val="24"/>
          <w:lang w:eastAsia="it-IT"/>
          <w14:ligatures w14:val="none"/>
        </w:rPr>
        <w:t xml:space="preserve"> </w:t>
      </w:r>
      <w:r w:rsidR="00345248" w:rsidRPr="005D320A">
        <w:rPr>
          <w:rFonts w:ascii="Titillium Web" w:eastAsia="Times New Roman" w:hAnsi="Titillium Web" w:cs="Times New Roman"/>
          <w:color w:val="FF0000"/>
          <w:kern w:val="0"/>
          <w:sz w:val="24"/>
          <w:szCs w:val="24"/>
          <w:lang w:eastAsia="it-IT"/>
          <w14:ligatures w14:val="none"/>
        </w:rPr>
        <w:t xml:space="preserve"> una</w:t>
      </w:r>
      <w:proofErr w:type="gramEnd"/>
      <w:r w:rsidR="00345248" w:rsidRPr="005D320A">
        <w:rPr>
          <w:rFonts w:ascii="Titillium Web" w:eastAsia="Times New Roman" w:hAnsi="Titillium Web" w:cs="Times New Roman"/>
          <w:color w:val="FF0000"/>
          <w:kern w:val="0"/>
          <w:sz w:val="24"/>
          <w:szCs w:val="24"/>
          <w:lang w:eastAsia="it-IT"/>
          <w14:ligatures w14:val="none"/>
        </w:rPr>
        <w:t xml:space="preserve"> tassa </w:t>
      </w:r>
      <w:r w:rsidR="00297141" w:rsidRPr="005D320A">
        <w:rPr>
          <w:rFonts w:ascii="Titillium Web" w:eastAsia="Times New Roman" w:hAnsi="Titillium Web" w:cs="Times New Roman"/>
          <w:color w:val="FF0000"/>
          <w:kern w:val="0"/>
          <w:sz w:val="24"/>
          <w:szCs w:val="24"/>
          <w:lang w:eastAsia="it-IT"/>
          <w14:ligatures w14:val="none"/>
        </w:rPr>
        <w:t xml:space="preserve">per </w:t>
      </w:r>
      <w:r w:rsidR="00297141" w:rsidRPr="005D320A">
        <w:rPr>
          <w:rFonts w:ascii="Titillium Web" w:eastAsia="Times New Roman" w:hAnsi="Titillium Web" w:cs="Times New Roman"/>
          <w:i/>
          <w:iCs/>
          <w:color w:val="FF0000"/>
          <w:kern w:val="0"/>
          <w:sz w:val="24"/>
          <w:szCs w:val="24"/>
          <w:lang w:eastAsia="it-IT"/>
          <w14:ligatures w14:val="none"/>
        </w:rPr>
        <w:t>la sicurezza anche nelle principali stazioni ferroviarie.</w:t>
      </w:r>
    </w:p>
    <w:p w14:paraId="0EBFBB41" w14:textId="77777777" w:rsidR="005D320A" w:rsidRDefault="005D320A" w:rsidP="008E7F56">
      <w:pPr>
        <w:shd w:val="clear" w:color="auto" w:fill="FFFFFF" w:themeFill="background1"/>
        <w:spacing w:after="0" w:line="240" w:lineRule="auto"/>
        <w:rPr>
          <w:rFonts w:ascii="Titillium Web" w:eastAsia="Times New Roman" w:hAnsi="Titillium Web" w:cs="Times New Roman"/>
          <w:i/>
          <w:iCs/>
          <w:color w:val="212121"/>
          <w:kern w:val="0"/>
          <w:sz w:val="24"/>
          <w:szCs w:val="24"/>
          <w:lang w:eastAsia="it-IT"/>
          <w14:ligatures w14:val="none"/>
        </w:rPr>
      </w:pPr>
    </w:p>
    <w:p w14:paraId="269EF548" w14:textId="24C11A48" w:rsidR="009A034D" w:rsidRPr="009A034D" w:rsidRDefault="009A034D" w:rsidP="008E7F56">
      <w:pPr>
        <w:shd w:val="clear" w:color="auto" w:fill="FFFFFF" w:themeFill="background1"/>
        <w:spacing w:after="0" w:line="240" w:lineRule="auto"/>
        <w:rPr>
          <w:rFonts w:ascii="Titillium Web" w:eastAsia="Times New Roman" w:hAnsi="Titillium Web" w:cs="Times New Roman"/>
          <w:color w:val="212121"/>
          <w:kern w:val="0"/>
          <w:sz w:val="24"/>
          <w:szCs w:val="24"/>
          <w:lang w:eastAsia="it-IT"/>
          <w14:ligatures w14:val="none"/>
        </w:rPr>
      </w:pPr>
      <w:r>
        <w:rPr>
          <w:rFonts w:ascii="Titillium Web" w:eastAsia="Times New Roman" w:hAnsi="Titillium Web" w:cs="Times New Roman"/>
          <w:color w:val="212121"/>
          <w:kern w:val="0"/>
          <w:sz w:val="24"/>
          <w:szCs w:val="24"/>
          <w:lang w:eastAsia="it-IT"/>
          <w14:ligatures w14:val="none"/>
        </w:rPr>
        <w:t>Ma proseguiamo.</w:t>
      </w:r>
    </w:p>
    <w:p w14:paraId="20C98978" w14:textId="77777777" w:rsidR="00F6669A" w:rsidRPr="008E7F56" w:rsidRDefault="00F6669A" w:rsidP="008E7F56">
      <w:pPr>
        <w:shd w:val="clear" w:color="auto" w:fill="FFFFFF" w:themeFill="background1"/>
        <w:spacing w:after="0" w:line="240" w:lineRule="auto"/>
        <w:rPr>
          <w:rFonts w:ascii="Titillium Web" w:eastAsia="Times New Roman" w:hAnsi="Titillium Web" w:cs="Times New Roman"/>
          <w:color w:val="212121"/>
          <w:kern w:val="0"/>
          <w:sz w:val="24"/>
          <w:szCs w:val="24"/>
          <w:lang w:eastAsia="it-IT"/>
          <w14:ligatures w14:val="none"/>
        </w:rPr>
      </w:pPr>
    </w:p>
    <w:p w14:paraId="5DEA72B9" w14:textId="70F2CDE1" w:rsidR="008E7F56" w:rsidRPr="008E7F56" w:rsidRDefault="008E7F56" w:rsidP="008E7F56">
      <w:pPr>
        <w:shd w:val="clear" w:color="auto" w:fill="FFFFFF" w:themeFill="background1"/>
        <w:spacing w:after="100" w:afterAutospacing="1" w:line="240" w:lineRule="auto"/>
        <w:rPr>
          <w:rFonts w:ascii="Titillium Web" w:eastAsia="Times New Roman" w:hAnsi="Titillium Web" w:cs="Times New Roman"/>
          <w:color w:val="212121"/>
          <w:kern w:val="0"/>
          <w:sz w:val="24"/>
          <w:szCs w:val="24"/>
          <w:lang w:eastAsia="it-IT"/>
          <w14:ligatures w14:val="none"/>
        </w:rPr>
      </w:pPr>
      <w:r w:rsidRPr="008E7F56">
        <w:rPr>
          <w:rFonts w:ascii="Titillium Web" w:eastAsia="Times New Roman" w:hAnsi="Titillium Web" w:cs="Times New Roman"/>
          <w:color w:val="212121"/>
          <w:kern w:val="0"/>
          <w:sz w:val="24"/>
          <w:szCs w:val="24"/>
          <w:lang w:eastAsia="it-IT"/>
          <w14:ligatures w14:val="none"/>
        </w:rPr>
        <w:t>L'addizionale</w:t>
      </w:r>
      <w:r w:rsidR="003B7EA9">
        <w:rPr>
          <w:rFonts w:ascii="Titillium Web" w:eastAsia="Times New Roman" w:hAnsi="Titillium Web" w:cs="Times New Roman"/>
          <w:color w:val="212121"/>
          <w:kern w:val="0"/>
          <w:sz w:val="24"/>
          <w:szCs w:val="24"/>
          <w:lang w:eastAsia="it-IT"/>
          <w14:ligatures w14:val="none"/>
        </w:rPr>
        <w:t xml:space="preserve"> d</w:t>
      </w:r>
      <w:r w:rsidR="00BF5543">
        <w:rPr>
          <w:rFonts w:ascii="Titillium Web" w:eastAsia="Times New Roman" w:hAnsi="Titillium Web" w:cs="Times New Roman"/>
          <w:color w:val="212121"/>
          <w:kern w:val="0"/>
          <w:sz w:val="24"/>
          <w:szCs w:val="24"/>
          <w:lang w:eastAsia="it-IT"/>
          <w14:ligatures w14:val="none"/>
        </w:rPr>
        <w:t>i</w:t>
      </w:r>
      <w:r w:rsidR="003B7EA9">
        <w:rPr>
          <w:rFonts w:ascii="Titillium Web" w:eastAsia="Times New Roman" w:hAnsi="Titillium Web" w:cs="Times New Roman"/>
          <w:color w:val="212121"/>
          <w:kern w:val="0"/>
          <w:sz w:val="24"/>
          <w:szCs w:val="24"/>
          <w:lang w:eastAsia="it-IT"/>
          <w14:ligatures w14:val="none"/>
        </w:rPr>
        <w:t xml:space="preserve"> cui sopra</w:t>
      </w:r>
      <w:r w:rsidRPr="008E7F56">
        <w:rPr>
          <w:rFonts w:ascii="Titillium Web" w:eastAsia="Times New Roman" w:hAnsi="Titillium Web" w:cs="Times New Roman"/>
          <w:color w:val="212121"/>
          <w:kern w:val="0"/>
          <w:sz w:val="24"/>
          <w:szCs w:val="24"/>
          <w:lang w:eastAsia="it-IT"/>
          <w14:ligatures w14:val="none"/>
        </w:rPr>
        <w:t xml:space="preserve"> è</w:t>
      </w:r>
      <w:r w:rsidRPr="008E7F56">
        <w:rPr>
          <w:rFonts w:ascii="Titillium Web" w:eastAsia="Times New Roman" w:hAnsi="Titillium Web" w:cs="Times New Roman"/>
          <w:b/>
          <w:bCs/>
          <w:color w:val="212121"/>
          <w:kern w:val="0"/>
          <w:sz w:val="24"/>
          <w:szCs w:val="24"/>
          <w:lang w:eastAsia="it-IT"/>
          <w14:ligatures w14:val="none"/>
        </w:rPr>
        <w:t> stata aumentata di 1 euro</w:t>
      </w:r>
      <w:r w:rsidRPr="008E7F56">
        <w:rPr>
          <w:rFonts w:ascii="Titillium Web" w:eastAsia="Times New Roman" w:hAnsi="Titillium Web" w:cs="Times New Roman"/>
          <w:color w:val="212121"/>
          <w:kern w:val="0"/>
          <w:sz w:val="24"/>
          <w:szCs w:val="24"/>
          <w:lang w:eastAsia="it-IT"/>
          <w14:ligatures w14:val="none"/>
        </w:rPr>
        <w:t> </w:t>
      </w:r>
      <w:r w:rsidRPr="008E7F56">
        <w:rPr>
          <w:rFonts w:ascii="Titillium Web" w:eastAsia="Times New Roman" w:hAnsi="Titillium Web" w:cs="Times New Roman"/>
          <w:b/>
          <w:bCs/>
          <w:color w:val="212121"/>
          <w:kern w:val="0"/>
          <w:sz w:val="24"/>
          <w:szCs w:val="24"/>
          <w:lang w:eastAsia="it-IT"/>
          <w14:ligatures w14:val="none"/>
        </w:rPr>
        <w:t xml:space="preserve">a passeggero dal D.L. n. 7/2005 </w:t>
      </w:r>
      <w:r w:rsidR="001347FD" w:rsidRPr="001347FD">
        <w:rPr>
          <w:rFonts w:ascii="Titillium Web" w:eastAsia="Times New Roman" w:hAnsi="Titillium Web" w:cs="Times New Roman"/>
          <w:color w:val="FF0000"/>
          <w:kern w:val="0"/>
          <w:sz w:val="18"/>
          <w:szCs w:val="18"/>
          <w:lang w:eastAsia="it-IT"/>
          <w14:ligatures w14:val="none"/>
        </w:rPr>
        <w:t>(2)</w:t>
      </w:r>
      <w:r w:rsidR="001347FD" w:rsidRPr="001347FD">
        <w:rPr>
          <w:rFonts w:ascii="Titillium Web" w:eastAsia="Times New Roman" w:hAnsi="Titillium Web" w:cs="Times New Roman"/>
          <w:b/>
          <w:bCs/>
          <w:color w:val="FF0000"/>
          <w:kern w:val="0"/>
          <w:sz w:val="24"/>
          <w:szCs w:val="24"/>
          <w:lang w:eastAsia="it-IT"/>
          <w14:ligatures w14:val="none"/>
        </w:rPr>
        <w:t xml:space="preserve"> </w:t>
      </w:r>
      <w:r w:rsidRPr="008E7F56">
        <w:rPr>
          <w:rFonts w:ascii="Titillium Web" w:eastAsia="Times New Roman" w:hAnsi="Titillium Web" w:cs="Times New Roman"/>
          <w:color w:val="212121"/>
          <w:kern w:val="0"/>
          <w:sz w:val="24"/>
          <w:szCs w:val="24"/>
          <w:lang w:eastAsia="it-IT"/>
          <w14:ligatures w14:val="none"/>
        </w:rPr>
        <w:t>e, a seguito del decreto-legge 134 del 2008, che ha novellato la citata</w:t>
      </w:r>
      <w:r w:rsidR="003B7EA9">
        <w:rPr>
          <w:rFonts w:ascii="Titillium Web" w:eastAsia="Times New Roman" w:hAnsi="Titillium Web" w:cs="Times New Roman"/>
          <w:color w:val="212121"/>
          <w:kern w:val="0"/>
          <w:sz w:val="24"/>
          <w:szCs w:val="24"/>
          <w:lang w:eastAsia="it-IT"/>
          <w14:ligatures w14:val="none"/>
        </w:rPr>
        <w:t xml:space="preserve"> </w:t>
      </w:r>
      <w:r w:rsidRPr="008E7F56">
        <w:rPr>
          <w:rFonts w:ascii="Titillium Web" w:eastAsia="Times New Roman" w:hAnsi="Titillium Web" w:cs="Times New Roman"/>
          <w:color w:val="212121"/>
          <w:kern w:val="0"/>
          <w:sz w:val="24"/>
          <w:szCs w:val="24"/>
          <w:lang w:eastAsia="it-IT"/>
          <w14:ligatures w14:val="none"/>
        </w:rPr>
        <w:t>disposizione,</w:t>
      </w:r>
      <w:r w:rsidRPr="008E7F56">
        <w:rPr>
          <w:rFonts w:ascii="Titillium Web" w:eastAsia="Times New Roman" w:hAnsi="Titillium Web" w:cs="Times New Roman"/>
          <w:b/>
          <w:bCs/>
          <w:color w:val="212121"/>
          <w:kern w:val="0"/>
          <w:sz w:val="24"/>
          <w:szCs w:val="24"/>
          <w:lang w:eastAsia="it-IT"/>
          <w14:ligatures w14:val="none"/>
        </w:rPr>
        <w:t> incrementata di 3 € a passeggero </w:t>
      </w:r>
      <w:r w:rsidRPr="008E7F56">
        <w:rPr>
          <w:rFonts w:ascii="Titillium Web" w:eastAsia="Times New Roman" w:hAnsi="Titillium Web" w:cs="Times New Roman"/>
          <w:color w:val="212121"/>
          <w:kern w:val="0"/>
          <w:sz w:val="24"/>
          <w:szCs w:val="24"/>
          <w:lang w:eastAsia="it-IT"/>
          <w14:ligatures w14:val="none"/>
        </w:rPr>
        <w:t>(l'incremento quindi è stato di due euro rispetto al precedente regime). </w:t>
      </w:r>
    </w:p>
    <w:p w14:paraId="0E0C794F" w14:textId="77777777" w:rsidR="00F147B4" w:rsidRDefault="008E7F56" w:rsidP="008E7F56">
      <w:pPr>
        <w:pStyle w:val="NormaleWeb"/>
        <w:shd w:val="clear" w:color="auto" w:fill="FFFFFF" w:themeFill="background1"/>
        <w:spacing w:before="0" w:beforeAutospacing="0"/>
        <w:rPr>
          <w:rFonts w:ascii="Titillium Web" w:hAnsi="Titillium Web"/>
          <w:color w:val="212121"/>
        </w:rPr>
      </w:pPr>
      <w:r>
        <w:rPr>
          <w:rFonts w:ascii="Titillium Web" w:hAnsi="Titillium Web"/>
          <w:color w:val="212121"/>
        </w:rPr>
        <w:t>L'incremento dell'addizionale è stato tuttavia destinato, a seguito di diverse proroghe,</w:t>
      </w:r>
      <w:r>
        <w:rPr>
          <w:rStyle w:val="Enfasigrassetto"/>
          <w:rFonts w:ascii="Titillium Web" w:hAnsi="Titillium Web"/>
          <w:color w:val="212121"/>
        </w:rPr>
        <w:t> fino al 31 dicembre 2018</w:t>
      </w:r>
      <w:r>
        <w:rPr>
          <w:rFonts w:ascii="Titillium Web" w:hAnsi="Titillium Web"/>
          <w:color w:val="212121"/>
        </w:rPr>
        <w:t xml:space="preserve"> ad alimentare il Fondo di solidarietà per il settore del trasporto aereo e del sistema aeroportuale </w:t>
      </w:r>
      <w:r w:rsidRPr="00F147B4">
        <w:rPr>
          <w:rFonts w:ascii="Titillium Web" w:hAnsi="Titillium Web"/>
          <w:color w:val="FF0000"/>
          <w:sz w:val="18"/>
          <w:szCs w:val="18"/>
        </w:rPr>
        <w:t>(</w:t>
      </w:r>
      <w:r w:rsidR="00F147B4" w:rsidRPr="00F147B4">
        <w:rPr>
          <w:rFonts w:ascii="Titillium Web" w:hAnsi="Titillium Web"/>
          <w:color w:val="FF0000"/>
          <w:sz w:val="18"/>
          <w:szCs w:val="18"/>
        </w:rPr>
        <w:t>3)</w:t>
      </w:r>
      <w:r w:rsidR="00F147B4" w:rsidRPr="00F147B4">
        <w:rPr>
          <w:rFonts w:ascii="Titillium Web" w:hAnsi="Titillium Web"/>
          <w:color w:val="FF0000"/>
        </w:rPr>
        <w:t xml:space="preserve"> </w:t>
      </w:r>
      <w:r>
        <w:rPr>
          <w:rFonts w:ascii="Titillium Web" w:hAnsi="Titillium Web"/>
          <w:color w:val="212121"/>
        </w:rPr>
        <w:t xml:space="preserve">e, per l'anno 2019, all'alimentazione del </w:t>
      </w:r>
      <w:proofErr w:type="gramStart"/>
      <w:r>
        <w:rPr>
          <w:rFonts w:ascii="Titillium Web" w:hAnsi="Titillium Web"/>
          <w:color w:val="212121"/>
        </w:rPr>
        <w:t>predetto</w:t>
      </w:r>
      <w:proofErr w:type="gramEnd"/>
      <w:r>
        <w:rPr>
          <w:rFonts w:ascii="Titillium Web" w:hAnsi="Titillium Web"/>
          <w:color w:val="212121"/>
        </w:rPr>
        <w:t xml:space="preserve"> Fondo nella misura del cinquanta per cento. </w:t>
      </w:r>
    </w:p>
    <w:p w14:paraId="32DA50FB" w14:textId="0395AAA4" w:rsidR="002543EA" w:rsidRPr="002F4520" w:rsidRDefault="002F4520" w:rsidP="008E7F56">
      <w:pPr>
        <w:pStyle w:val="NormaleWeb"/>
        <w:shd w:val="clear" w:color="auto" w:fill="FFFFFF" w:themeFill="background1"/>
        <w:spacing w:before="0" w:beforeAutospacing="0"/>
        <w:rPr>
          <w:rFonts w:ascii="Titillium Web" w:hAnsi="Titillium Web"/>
          <w:color w:val="FF0000"/>
          <w:sz w:val="18"/>
          <w:szCs w:val="18"/>
        </w:rPr>
      </w:pPr>
      <w:r w:rsidRPr="002F4520">
        <w:rPr>
          <w:rFonts w:ascii="Titillium Web" w:hAnsi="Titillium Web"/>
          <w:i/>
          <w:iCs/>
          <w:color w:val="212121"/>
        </w:rPr>
        <w:t>“</w:t>
      </w:r>
      <w:r w:rsidR="008E7F56" w:rsidRPr="002F4520">
        <w:rPr>
          <w:rFonts w:ascii="Titillium Web" w:hAnsi="Titillium Web"/>
          <w:i/>
          <w:iCs/>
          <w:color w:val="212121"/>
        </w:rPr>
        <w:t>A decorrere dal 1° gennaio 2020</w:t>
      </w:r>
      <w:r w:rsidR="003C51C5" w:rsidRPr="002F4520">
        <w:rPr>
          <w:rFonts w:ascii="Titillium Web" w:hAnsi="Titillium Web"/>
          <w:i/>
          <w:iCs/>
          <w:color w:val="212121"/>
        </w:rPr>
        <w:t xml:space="preserve"> </w:t>
      </w:r>
      <w:proofErr w:type="gramStart"/>
      <w:r w:rsidR="003C51C5" w:rsidRPr="002F4520">
        <w:rPr>
          <w:rFonts w:ascii="Titillium Web" w:hAnsi="Titillium Web"/>
          <w:i/>
          <w:iCs/>
          <w:color w:val="212121"/>
        </w:rPr>
        <w:t xml:space="preserve">poi </w:t>
      </w:r>
      <w:r w:rsidR="008E7F56" w:rsidRPr="002F4520">
        <w:rPr>
          <w:rFonts w:ascii="Titillium Web" w:hAnsi="Titillium Web"/>
          <w:i/>
          <w:iCs/>
          <w:color w:val="212121"/>
        </w:rPr>
        <w:t xml:space="preserve"> le</w:t>
      </w:r>
      <w:proofErr w:type="gramEnd"/>
      <w:r w:rsidR="008E7F56" w:rsidRPr="002F4520">
        <w:rPr>
          <w:rFonts w:ascii="Titillium Web" w:hAnsi="Titillium Web"/>
          <w:i/>
          <w:iCs/>
          <w:color w:val="212121"/>
        </w:rPr>
        <w:t xml:space="preserve"> maggiori somme derivanti dall'incremento dell'addizionale di cui all'</w:t>
      </w:r>
      <w:r w:rsidR="008E7F56" w:rsidRPr="002F4520">
        <w:rPr>
          <w:rStyle w:val="linkneltesto"/>
          <w:rFonts w:ascii="Titillium Web" w:hAnsi="Titillium Web"/>
          <w:i/>
          <w:iCs/>
          <w:color w:val="212121"/>
        </w:rPr>
        <w:t>articolo 6-quater, comma 2, del decreto-legge 31 gennaio 2005, n. 7</w:t>
      </w:r>
      <w:r w:rsidR="008E7F56" w:rsidRPr="002F4520">
        <w:rPr>
          <w:rFonts w:ascii="Titillium Web" w:hAnsi="Titillium Web"/>
          <w:i/>
          <w:iCs/>
          <w:color w:val="212121"/>
        </w:rPr>
        <w:t> sono riversate alla gestione degli interventi assistenziali e di sostegno alle gestioni previdenziali dell'INPS (di cui all'</w:t>
      </w:r>
      <w:r w:rsidR="008E7F56" w:rsidRPr="002F4520">
        <w:rPr>
          <w:rStyle w:val="linkneltesto"/>
          <w:rFonts w:ascii="Titillium Web" w:hAnsi="Titillium Web"/>
          <w:i/>
          <w:iCs/>
          <w:color w:val="212121"/>
        </w:rPr>
        <w:t>articolo 37 della legge 9 marzo 1989, n. 88)</w:t>
      </w:r>
      <w:r w:rsidR="008E7F56" w:rsidRPr="002F4520">
        <w:rPr>
          <w:rFonts w:ascii="Titillium Web" w:hAnsi="Titillium Web"/>
          <w:i/>
          <w:iCs/>
          <w:color w:val="212121"/>
        </w:rPr>
        <w:t xml:space="preserve"> e per l'anno 2019 le stesse somme sono riversate alla medesima gestione nella misura del 50 per cento (articolo 26 del decreto-legge n. 4 del 2019). </w:t>
      </w:r>
      <w:proofErr w:type="gramStart"/>
      <w:r w:rsidRPr="002F4520">
        <w:rPr>
          <w:rFonts w:ascii="Titillium Web" w:hAnsi="Titillium Web"/>
          <w:i/>
          <w:iCs/>
          <w:color w:val="212121"/>
        </w:rPr>
        <w:t>“</w:t>
      </w:r>
      <w:r>
        <w:rPr>
          <w:rFonts w:ascii="Titillium Web" w:hAnsi="Titillium Web"/>
          <w:i/>
          <w:iCs/>
          <w:color w:val="212121"/>
        </w:rPr>
        <w:t xml:space="preserve"> </w:t>
      </w:r>
      <w:r>
        <w:rPr>
          <w:rFonts w:ascii="Titillium Web" w:hAnsi="Titillium Web"/>
          <w:color w:val="212121"/>
          <w:sz w:val="18"/>
          <w:szCs w:val="18"/>
        </w:rPr>
        <w:t xml:space="preserve"> </w:t>
      </w:r>
      <w:r w:rsidRPr="002F4520">
        <w:rPr>
          <w:rFonts w:ascii="Titillium Web" w:hAnsi="Titillium Web"/>
          <w:color w:val="FF0000"/>
          <w:sz w:val="18"/>
          <w:szCs w:val="18"/>
        </w:rPr>
        <w:t>(</w:t>
      </w:r>
      <w:proofErr w:type="gramEnd"/>
      <w:r w:rsidRPr="002F4520">
        <w:rPr>
          <w:rFonts w:ascii="Titillium Web" w:hAnsi="Titillium Web"/>
          <w:color w:val="FF0000"/>
          <w:sz w:val="18"/>
          <w:szCs w:val="18"/>
        </w:rPr>
        <w:t>4)</w:t>
      </w:r>
    </w:p>
    <w:p w14:paraId="51547C88" w14:textId="76BEDFF6" w:rsidR="003D2768" w:rsidRPr="005D320A" w:rsidRDefault="003D2768" w:rsidP="008E7F56">
      <w:pPr>
        <w:pStyle w:val="NormaleWeb"/>
        <w:shd w:val="clear" w:color="auto" w:fill="FFFFFF" w:themeFill="background1"/>
        <w:spacing w:before="0" w:beforeAutospacing="0"/>
        <w:rPr>
          <w:rFonts w:ascii="Titillium Web" w:hAnsi="Titillium Web"/>
          <w:color w:val="FF0000"/>
        </w:rPr>
      </w:pPr>
      <w:r w:rsidRPr="005D320A">
        <w:rPr>
          <w:rFonts w:ascii="Titillium Web" w:hAnsi="Titillium Web"/>
          <w:color w:val="FF0000"/>
        </w:rPr>
        <w:t>Non poteva poi mancare l’INPS:</w:t>
      </w:r>
    </w:p>
    <w:p w14:paraId="1DCF3AF4" w14:textId="03D950A5" w:rsidR="008E7F56" w:rsidRDefault="007C69E3" w:rsidP="008E7F56">
      <w:pPr>
        <w:pStyle w:val="NormaleWeb"/>
        <w:shd w:val="clear" w:color="auto" w:fill="FFFFFF" w:themeFill="background1"/>
        <w:spacing w:before="0" w:beforeAutospacing="0"/>
        <w:rPr>
          <w:rFonts w:ascii="Titillium Web" w:hAnsi="Titillium Web"/>
          <w:color w:val="212121"/>
        </w:rPr>
      </w:pPr>
      <w:r w:rsidRPr="007C69E3">
        <w:rPr>
          <w:rFonts w:ascii="Titillium Web" w:hAnsi="Titillium Web"/>
          <w:i/>
          <w:iCs/>
          <w:color w:val="212121"/>
        </w:rPr>
        <w:t>“</w:t>
      </w:r>
      <w:r w:rsidR="008E7F56" w:rsidRPr="007C69E3">
        <w:rPr>
          <w:rFonts w:ascii="Titillium Web" w:hAnsi="Titillium Web"/>
          <w:i/>
          <w:iCs/>
          <w:color w:val="212121"/>
        </w:rPr>
        <w:t>Con il</w:t>
      </w:r>
      <w:r w:rsidR="008E7F56" w:rsidRPr="007C69E3">
        <w:rPr>
          <w:rStyle w:val="Enfasigrassetto"/>
          <w:rFonts w:ascii="Titillium Web" w:hAnsi="Titillium Web"/>
          <w:i/>
          <w:iCs/>
          <w:color w:val="212121"/>
        </w:rPr>
        <w:t> decreto-legge n. 34 del 2020 a decorrere dal 1° luglio 2021, le maggiori somme </w:t>
      </w:r>
      <w:r w:rsidR="008E7F56" w:rsidRPr="007C69E3">
        <w:rPr>
          <w:rFonts w:ascii="Titillium Web" w:hAnsi="Titillium Web"/>
          <w:i/>
          <w:iCs/>
          <w:color w:val="212121"/>
        </w:rPr>
        <w:t>derivanti dall'incremento dell'addizionale comunale sui diritti di imbarco previsto</w:t>
      </w:r>
      <w:r w:rsidR="008E7F56" w:rsidRPr="007C69E3">
        <w:rPr>
          <w:rStyle w:val="Enfasigrassetto"/>
          <w:rFonts w:ascii="Titillium Web" w:hAnsi="Titillium Web"/>
          <w:i/>
          <w:iCs/>
          <w:color w:val="212121"/>
        </w:rPr>
        <w:t> dall'articolo 6-quater, comma 2, del decreto-legge n. 7/2005 sono riversate, nella misura del 50 per cento,</w:t>
      </w:r>
      <w:r w:rsidR="008E7F56" w:rsidRPr="007C69E3">
        <w:rPr>
          <w:rFonts w:ascii="Titillium Web" w:hAnsi="Titillium Web"/>
          <w:i/>
          <w:iCs/>
          <w:color w:val="212121"/>
        </w:rPr>
        <w:t> alla </w:t>
      </w:r>
      <w:r w:rsidR="008E7F56" w:rsidRPr="007C69E3">
        <w:rPr>
          <w:rStyle w:val="Enfasigrassetto"/>
          <w:rFonts w:ascii="Titillium Web" w:hAnsi="Titillium Web"/>
          <w:i/>
          <w:iCs/>
          <w:color w:val="212121"/>
        </w:rPr>
        <w:t>gestione degli interventi assistenziali</w:t>
      </w:r>
      <w:r w:rsidR="008E7F56" w:rsidRPr="007C69E3">
        <w:rPr>
          <w:rFonts w:ascii="Titillium Web" w:hAnsi="Titillium Web"/>
          <w:i/>
          <w:iCs/>
          <w:color w:val="212121"/>
        </w:rPr>
        <w:t> e di sostegno alle gestioni previdenziali dell'INPS</w:t>
      </w:r>
      <w:r w:rsidR="008E7F56" w:rsidRPr="007C69E3">
        <w:rPr>
          <w:rStyle w:val="Enfasigrassetto"/>
          <w:rFonts w:ascii="Titillium Web" w:hAnsi="Titillium Web"/>
          <w:i/>
          <w:iCs/>
          <w:color w:val="212121"/>
        </w:rPr>
        <w:t> </w:t>
      </w:r>
      <w:r w:rsidR="008E7F56" w:rsidRPr="007C69E3">
        <w:rPr>
          <w:rFonts w:ascii="Titillium Web" w:hAnsi="Titillium Web"/>
          <w:i/>
          <w:iCs/>
          <w:color w:val="212121"/>
        </w:rPr>
        <w:t> (prevista dal citato articolo 37 della legge 9 marzo 1989, n. 88),</w:t>
      </w:r>
      <w:r w:rsidR="008E7F56" w:rsidRPr="007C69E3">
        <w:rPr>
          <w:rStyle w:val="Enfasigrassetto"/>
          <w:rFonts w:ascii="Titillium Web" w:hAnsi="Titillium Web"/>
          <w:i/>
          <w:iCs/>
          <w:color w:val="212121"/>
        </w:rPr>
        <w:t> e nella restante misura del 50 per cento </w:t>
      </w:r>
      <w:r w:rsidR="008E7F56" w:rsidRPr="007C69E3">
        <w:rPr>
          <w:rFonts w:ascii="Titillium Web" w:hAnsi="Titillium Web"/>
          <w:i/>
          <w:iCs/>
          <w:color w:val="212121"/>
        </w:rPr>
        <w:t>sono destinate ad alimentare il Fondo di solidarietà per il settore del trasporto aereo e del sistema aeroportuale.</w:t>
      </w:r>
      <w:r w:rsidRPr="007C69E3">
        <w:rPr>
          <w:rFonts w:ascii="Titillium Web" w:hAnsi="Titillium Web"/>
          <w:i/>
          <w:iCs/>
          <w:color w:val="212121"/>
        </w:rPr>
        <w:t xml:space="preserve">” </w:t>
      </w:r>
      <w:r>
        <w:rPr>
          <w:rFonts w:ascii="Titillium Web" w:hAnsi="Titillium Web"/>
          <w:color w:val="212121"/>
        </w:rPr>
        <w:t xml:space="preserve"> </w:t>
      </w:r>
      <w:r w:rsidRPr="007C69E3">
        <w:rPr>
          <w:rFonts w:ascii="Titillium Web" w:hAnsi="Titillium Web"/>
          <w:color w:val="FF0000"/>
          <w:sz w:val="18"/>
          <w:szCs w:val="18"/>
        </w:rPr>
        <w:t>(5)</w:t>
      </w:r>
      <w:r w:rsidR="008E7F56" w:rsidRPr="007C69E3">
        <w:rPr>
          <w:rFonts w:ascii="Titillium Web" w:hAnsi="Titillium Web"/>
          <w:color w:val="212121"/>
        </w:rPr>
        <w:br/>
      </w:r>
    </w:p>
    <w:p w14:paraId="2B0FAA41" w14:textId="18146E1D" w:rsidR="007C69E3" w:rsidRPr="005D320A" w:rsidRDefault="00B037EB" w:rsidP="008E7F56">
      <w:pPr>
        <w:pStyle w:val="NormaleWeb"/>
        <w:shd w:val="clear" w:color="auto" w:fill="FFFFFF" w:themeFill="background1"/>
        <w:spacing w:before="0" w:beforeAutospacing="0"/>
        <w:rPr>
          <w:rFonts w:ascii="Titillium Web" w:hAnsi="Titillium Web"/>
          <w:color w:val="FF0000"/>
        </w:rPr>
      </w:pPr>
      <w:r w:rsidRPr="005D320A">
        <w:rPr>
          <w:rFonts w:ascii="Titillium Web" w:hAnsi="Titillium Web"/>
          <w:color w:val="FF0000"/>
        </w:rPr>
        <w:t>Poi visto che c’eravamo</w:t>
      </w:r>
      <w:r w:rsidR="0071121F">
        <w:rPr>
          <w:rFonts w:ascii="Titillium Web" w:hAnsi="Titillium Web"/>
          <w:color w:val="FF0000"/>
        </w:rPr>
        <w:t>,</w:t>
      </w:r>
      <w:r w:rsidR="007D03E7" w:rsidRPr="005D320A">
        <w:rPr>
          <w:rFonts w:ascii="Titillium Web" w:hAnsi="Titillium Web"/>
          <w:color w:val="FF0000"/>
        </w:rPr>
        <w:t xml:space="preserve"> </w:t>
      </w:r>
      <w:r w:rsidR="002E411C" w:rsidRPr="005D320A">
        <w:rPr>
          <w:rFonts w:ascii="Titillium Web" w:hAnsi="Titillium Web"/>
          <w:color w:val="FF0000"/>
        </w:rPr>
        <w:t>perché</w:t>
      </w:r>
      <w:r w:rsidRPr="005D320A">
        <w:rPr>
          <w:rFonts w:ascii="Titillium Web" w:hAnsi="Titillium Web"/>
          <w:color w:val="FF0000"/>
        </w:rPr>
        <w:t xml:space="preserve"> non mettere dentro anche i Vigili del Fuoco? Infatti:</w:t>
      </w:r>
    </w:p>
    <w:p w14:paraId="32157536" w14:textId="0F8713DC" w:rsidR="008E7F56" w:rsidRDefault="008E7F56" w:rsidP="008E7F56">
      <w:pPr>
        <w:pStyle w:val="NormaleWeb"/>
        <w:shd w:val="clear" w:color="auto" w:fill="FFFFFF" w:themeFill="background1"/>
        <w:spacing w:before="0" w:beforeAutospacing="0"/>
        <w:rPr>
          <w:rFonts w:ascii="Titillium Web" w:hAnsi="Titillium Web"/>
          <w:color w:val="212121"/>
        </w:rPr>
      </w:pPr>
      <w:r>
        <w:rPr>
          <w:rFonts w:ascii="Titillium Web" w:hAnsi="Titillium Web"/>
          <w:color w:val="212121"/>
        </w:rPr>
        <w:t>A decorrere dall'anno 2007 l'addizionale sui diritti d'imbarco sugli aeromobili </w:t>
      </w:r>
      <w:r>
        <w:rPr>
          <w:rStyle w:val="Enfasigrassetto"/>
          <w:rFonts w:ascii="Titillium Web" w:hAnsi="Titillium Web"/>
          <w:color w:val="212121"/>
        </w:rPr>
        <w:t>è stata incrementata di ulteriori 50 centesimi di euro</w:t>
      </w:r>
      <w:r>
        <w:rPr>
          <w:rFonts w:ascii="Titillium Web" w:hAnsi="Titillium Web"/>
          <w:color w:val="212121"/>
        </w:rPr>
        <w:t xml:space="preserve"> a passeggero imbarcato, al fine di ridurre il costo a carico dello Stato del servizio antincendi negli aeroporti </w:t>
      </w:r>
      <w:r w:rsidRPr="007D03E7">
        <w:rPr>
          <w:rFonts w:ascii="Titillium Web" w:hAnsi="Titillium Web"/>
          <w:color w:val="FF0000"/>
          <w:sz w:val="18"/>
          <w:szCs w:val="18"/>
        </w:rPr>
        <w:t>(</w:t>
      </w:r>
      <w:r w:rsidR="00B037EB" w:rsidRPr="007D03E7">
        <w:rPr>
          <w:rFonts w:ascii="Titillium Web" w:hAnsi="Titillium Web"/>
          <w:color w:val="FF0000"/>
          <w:sz w:val="18"/>
          <w:szCs w:val="18"/>
        </w:rPr>
        <w:t>6)</w:t>
      </w:r>
      <w:r w:rsidR="00B037EB" w:rsidRPr="007D03E7">
        <w:rPr>
          <w:rFonts w:ascii="Titillium Web" w:hAnsi="Titillium Web"/>
          <w:color w:val="FF0000"/>
        </w:rPr>
        <w:t xml:space="preserve"> </w:t>
      </w:r>
    </w:p>
    <w:p w14:paraId="26D38B47" w14:textId="7A998732" w:rsidR="007D03E7" w:rsidRPr="005D320A" w:rsidRDefault="0071121F" w:rsidP="008E7F56">
      <w:pPr>
        <w:pStyle w:val="NormaleWeb"/>
        <w:shd w:val="clear" w:color="auto" w:fill="FFFFFF" w:themeFill="background1"/>
        <w:spacing w:before="0" w:beforeAutospacing="0"/>
        <w:rPr>
          <w:rFonts w:ascii="Titillium Web" w:hAnsi="Titillium Web"/>
          <w:color w:val="FF0000"/>
        </w:rPr>
      </w:pPr>
      <w:proofErr w:type="gramStart"/>
      <w:r>
        <w:rPr>
          <w:rFonts w:ascii="Titillium Web" w:hAnsi="Titillium Web"/>
          <w:color w:val="FF0000"/>
        </w:rPr>
        <w:t xml:space="preserve">Poi, </w:t>
      </w:r>
      <w:r w:rsidR="007D03E7" w:rsidRPr="005D320A">
        <w:rPr>
          <w:rFonts w:ascii="Titillium Web" w:hAnsi="Titillium Web"/>
          <w:color w:val="FF0000"/>
        </w:rPr>
        <w:t xml:space="preserve"> ecco</w:t>
      </w:r>
      <w:proofErr w:type="gramEnd"/>
      <w:r w:rsidR="007D03E7" w:rsidRPr="005D320A">
        <w:rPr>
          <w:rFonts w:ascii="Titillium Web" w:hAnsi="Titillium Web"/>
          <w:color w:val="FF0000"/>
        </w:rPr>
        <w:t xml:space="preserve"> di nuovo comparire l’INPS:</w:t>
      </w:r>
    </w:p>
    <w:p w14:paraId="7C3E78E6" w14:textId="39E52545" w:rsidR="008E7F56" w:rsidRDefault="008E7F56" w:rsidP="008E7F56">
      <w:pPr>
        <w:pStyle w:val="NormaleWeb"/>
        <w:shd w:val="clear" w:color="auto" w:fill="FFFFFF" w:themeFill="background1"/>
        <w:spacing w:before="0" w:beforeAutospacing="0"/>
        <w:rPr>
          <w:rFonts w:ascii="Titillium Web" w:hAnsi="Titillium Web"/>
          <w:color w:val="212121"/>
        </w:rPr>
      </w:pPr>
      <w:r>
        <w:rPr>
          <w:rFonts w:ascii="Titillium Web" w:hAnsi="Titillium Web"/>
          <w:color w:val="212121"/>
        </w:rPr>
        <w:lastRenderedPageBreak/>
        <w:t>A partire dal 2013 l'addizionale è stata</w:t>
      </w:r>
      <w:r>
        <w:rPr>
          <w:rStyle w:val="Enfasigrassetto"/>
          <w:rFonts w:ascii="Titillium Web" w:hAnsi="Titillium Web"/>
          <w:color w:val="212121"/>
        </w:rPr>
        <w:t> ulteriormente incrementata</w:t>
      </w:r>
      <w:r>
        <w:rPr>
          <w:rFonts w:ascii="Titillium Web" w:hAnsi="Titillium Web"/>
          <w:color w:val="212121"/>
        </w:rPr>
        <w:t>, </w:t>
      </w:r>
      <w:r>
        <w:rPr>
          <w:rStyle w:val="Enfasigrassetto"/>
          <w:rFonts w:ascii="Titillium Web" w:hAnsi="Titillium Web"/>
          <w:color w:val="212121"/>
        </w:rPr>
        <w:t>a decorrere dal 1° luglio 2013</w:t>
      </w:r>
      <w:r>
        <w:rPr>
          <w:rFonts w:ascii="Titillium Web" w:hAnsi="Titillium Web"/>
          <w:color w:val="212121"/>
        </w:rPr>
        <w:t>, di </w:t>
      </w:r>
      <w:r>
        <w:rPr>
          <w:rStyle w:val="Enfasigrassetto"/>
          <w:rFonts w:ascii="Titillium Web" w:hAnsi="Titillium Web"/>
          <w:color w:val="212121"/>
        </w:rPr>
        <w:t>due euro</w:t>
      </w:r>
      <w:r>
        <w:rPr>
          <w:rFonts w:ascii="Titillium Web" w:hAnsi="Titillium Web"/>
          <w:color w:val="212121"/>
        </w:rPr>
        <w:t> a passeggero imbarcato dall'articolo 4, comma 75, della legge n. 92 del 2012. Tale incremento è versato all'INPS.</w:t>
      </w:r>
    </w:p>
    <w:p w14:paraId="6F1620A7" w14:textId="07CF6834" w:rsidR="00487080" w:rsidRDefault="00487080" w:rsidP="008E7F56">
      <w:pPr>
        <w:pStyle w:val="NormaleWeb"/>
        <w:shd w:val="clear" w:color="auto" w:fill="FFFFFF" w:themeFill="background1"/>
        <w:spacing w:before="0" w:beforeAutospacing="0"/>
        <w:rPr>
          <w:rFonts w:ascii="Titillium Web" w:hAnsi="Titillium Web"/>
          <w:color w:val="212121"/>
        </w:rPr>
      </w:pPr>
      <w:r>
        <w:rPr>
          <w:rFonts w:ascii="Titillium Web" w:hAnsi="Titillium Web"/>
          <w:color w:val="212121"/>
        </w:rPr>
        <w:t>Ma qui troviamo (incredibile!) una esenzione:</w:t>
      </w:r>
    </w:p>
    <w:p w14:paraId="03B0F90F" w14:textId="0F4B0A41" w:rsidR="008E7F56" w:rsidRDefault="00487080" w:rsidP="008E7F56">
      <w:pPr>
        <w:pStyle w:val="NormaleWeb"/>
        <w:shd w:val="clear" w:color="auto" w:fill="FFFFFF" w:themeFill="background1"/>
        <w:spacing w:before="0" w:beforeAutospacing="0"/>
        <w:rPr>
          <w:rFonts w:ascii="Titillium Web" w:hAnsi="Titillium Web"/>
          <w:color w:val="212121"/>
        </w:rPr>
      </w:pPr>
      <w:r>
        <w:rPr>
          <w:rFonts w:ascii="Titillium Web" w:hAnsi="Titillium Web"/>
          <w:color w:val="212121"/>
        </w:rPr>
        <w:t>“</w:t>
      </w:r>
      <w:r w:rsidR="008E7F56">
        <w:rPr>
          <w:rFonts w:ascii="Titillium Web" w:hAnsi="Titillium Web"/>
          <w:color w:val="212121"/>
        </w:rPr>
        <w:t>Tale imposta non è dovuta dai passeggeri in transito negli scali aeroportuali nazionali, se provenienti da scali domestici</w:t>
      </w:r>
      <w:r w:rsidR="0079077B">
        <w:rPr>
          <w:rFonts w:ascii="Titillium Web" w:hAnsi="Titillium Web"/>
          <w:color w:val="212121"/>
        </w:rPr>
        <w:t>.”</w:t>
      </w:r>
      <w:r w:rsidR="008E7F56">
        <w:rPr>
          <w:rFonts w:ascii="Titillium Web" w:hAnsi="Titillium Web"/>
          <w:color w:val="212121"/>
        </w:rPr>
        <w:t xml:space="preserve"> </w:t>
      </w:r>
      <w:r w:rsidR="0079077B">
        <w:rPr>
          <w:rFonts w:ascii="Titillium Web" w:hAnsi="Titillium Web"/>
          <w:color w:val="212121"/>
        </w:rPr>
        <w:t xml:space="preserve"> </w:t>
      </w:r>
      <w:r w:rsidR="0079077B" w:rsidRPr="0079077B">
        <w:rPr>
          <w:rFonts w:ascii="Titillium Web" w:hAnsi="Titillium Web"/>
          <w:color w:val="FF0000"/>
          <w:sz w:val="18"/>
          <w:szCs w:val="18"/>
        </w:rPr>
        <w:t>(7)</w:t>
      </w:r>
      <w:r w:rsidR="0079077B" w:rsidRPr="0079077B">
        <w:rPr>
          <w:rFonts w:ascii="Titillium Web" w:hAnsi="Titillium Web"/>
          <w:color w:val="FF0000"/>
        </w:rPr>
        <w:t xml:space="preserve"> </w:t>
      </w:r>
    </w:p>
    <w:p w14:paraId="558F5C4C" w14:textId="52E48CBE" w:rsidR="00A958DE" w:rsidRPr="005D320A" w:rsidRDefault="00A958DE" w:rsidP="008E7F56">
      <w:pPr>
        <w:pStyle w:val="NormaleWeb"/>
        <w:shd w:val="clear" w:color="auto" w:fill="FFFFFF" w:themeFill="background1"/>
        <w:spacing w:before="0" w:beforeAutospacing="0"/>
        <w:rPr>
          <w:rFonts w:ascii="Titillium Web" w:hAnsi="Titillium Web"/>
          <w:color w:val="FF0000"/>
        </w:rPr>
      </w:pPr>
      <w:r w:rsidRPr="005D320A">
        <w:rPr>
          <w:rFonts w:ascii="Titillium Web" w:hAnsi="Titillium Web"/>
          <w:color w:val="FF0000"/>
        </w:rPr>
        <w:t>Ma non finisce qu</w:t>
      </w:r>
      <w:r w:rsidR="00A87539">
        <w:rPr>
          <w:rFonts w:ascii="Titillium Web" w:hAnsi="Titillium Web"/>
          <w:color w:val="FF0000"/>
        </w:rPr>
        <w:t>i, inseriamoci anche un “ripianamento finanziario della città”</w:t>
      </w:r>
      <w:r w:rsidR="00164EB4">
        <w:rPr>
          <w:rFonts w:ascii="Titillium Web" w:hAnsi="Titillium Web"/>
          <w:color w:val="FF0000"/>
        </w:rPr>
        <w:t>:</w:t>
      </w:r>
    </w:p>
    <w:p w14:paraId="374F5E56" w14:textId="7DD4535F" w:rsidR="008E7F56" w:rsidRDefault="008E7F56" w:rsidP="008E7F56">
      <w:pPr>
        <w:pStyle w:val="NormaleWeb"/>
        <w:shd w:val="clear" w:color="auto" w:fill="FFFFFF" w:themeFill="background1"/>
        <w:spacing w:before="0" w:beforeAutospacing="0"/>
        <w:rPr>
          <w:rFonts w:ascii="Titillium Web" w:hAnsi="Titillium Web"/>
          <w:color w:val="212121"/>
        </w:rPr>
      </w:pPr>
      <w:r>
        <w:rPr>
          <w:rFonts w:ascii="Titillium Web" w:hAnsi="Titillium Web"/>
          <w:color w:val="212121"/>
        </w:rPr>
        <w:t>Nel 2010 è stata poi istituita un'</w:t>
      </w:r>
      <w:r>
        <w:rPr>
          <w:rStyle w:val="Enfasigrassetto"/>
          <w:rFonts w:ascii="Titillium Web" w:hAnsi="Titillium Web"/>
          <w:color w:val="212121"/>
        </w:rPr>
        <w:t>addizionale Commissariale</w:t>
      </w:r>
      <w:r>
        <w:rPr>
          <w:rFonts w:ascii="Titillium Web" w:hAnsi="Titillium Web"/>
          <w:color w:val="212121"/>
        </w:rPr>
        <w:t> sui diritti di imbarco dei passeggeri sugli aeromobili in partenza dagli </w:t>
      </w:r>
      <w:r>
        <w:rPr>
          <w:rStyle w:val="Enfasigrassetto"/>
          <w:rFonts w:ascii="Titillium Web" w:hAnsi="Titillium Web"/>
          <w:color w:val="212121"/>
        </w:rPr>
        <w:t>aeroporti della città di Roma</w:t>
      </w:r>
      <w:r>
        <w:rPr>
          <w:rFonts w:ascii="Titillium Web" w:hAnsi="Titillium Web"/>
          <w:color w:val="212121"/>
        </w:rPr>
        <w:t> di </w:t>
      </w:r>
      <w:r>
        <w:rPr>
          <w:rStyle w:val="Enfasigrassetto"/>
          <w:rFonts w:ascii="Titillium Web" w:hAnsi="Titillium Web"/>
          <w:color w:val="212121"/>
        </w:rPr>
        <w:t>1 euro </w:t>
      </w:r>
      <w:r>
        <w:rPr>
          <w:rFonts w:ascii="Titillium Web" w:hAnsi="Titillium Web"/>
          <w:color w:val="212121"/>
        </w:rPr>
        <w:t>per passeggero (articolo 14, comma 14, del DL 31 maggio 2010, n. 78 e destinata alle straordinarie esigenze di ripianamento finanziario della città), che continua ad applicarsi (in base all'art. 13, co. 17 del D.L: n. 145/2013), a tutti i passeggeri con voli originanti e in transito negli scali di Roma Fiumicino e Ciampino, ad eccezione di quelli in transito aventi origine e destinazione domestica.</w:t>
      </w:r>
    </w:p>
    <w:p w14:paraId="68C2E876" w14:textId="17F07F75" w:rsidR="005D320A" w:rsidRPr="005D320A" w:rsidRDefault="005D320A" w:rsidP="008E7F56">
      <w:pPr>
        <w:pStyle w:val="NormaleWeb"/>
        <w:shd w:val="clear" w:color="auto" w:fill="FFFFFF" w:themeFill="background1"/>
        <w:spacing w:before="0" w:beforeAutospacing="0"/>
        <w:rPr>
          <w:rFonts w:ascii="Titillium Web" w:hAnsi="Titillium Web"/>
          <w:color w:val="FF0000"/>
        </w:rPr>
      </w:pPr>
      <w:r w:rsidRPr="005D320A">
        <w:rPr>
          <w:rFonts w:ascii="Titillium Web" w:hAnsi="Titillium Web"/>
          <w:color w:val="FF0000"/>
        </w:rPr>
        <w:t>Erano anche previsti ulteriori aumenti:</w:t>
      </w:r>
    </w:p>
    <w:p w14:paraId="2D26E6FF" w14:textId="77777777" w:rsidR="008E7F56" w:rsidRPr="008E7F56" w:rsidRDefault="008E7F56" w:rsidP="008E7F56">
      <w:pPr>
        <w:shd w:val="clear" w:color="auto" w:fill="FFFFFF" w:themeFill="background1"/>
        <w:spacing w:line="336" w:lineRule="atLeast"/>
        <w:rPr>
          <w:rFonts w:ascii="Titillium Web" w:eastAsia="Times New Roman" w:hAnsi="Titillium Web" w:cs="Times New Roman"/>
          <w:color w:val="212121"/>
          <w:kern w:val="0"/>
          <w:sz w:val="23"/>
          <w:szCs w:val="23"/>
          <w:lang w:eastAsia="it-IT"/>
          <w14:ligatures w14:val="none"/>
        </w:rPr>
      </w:pPr>
      <w:r w:rsidRPr="008E7F56">
        <w:rPr>
          <w:rFonts w:ascii="Titillium Web" w:eastAsia="Times New Roman" w:hAnsi="Titillium Web" w:cs="Times New Roman"/>
          <w:color w:val="212121"/>
          <w:kern w:val="0"/>
          <w:sz w:val="23"/>
          <w:szCs w:val="23"/>
          <w:lang w:eastAsia="it-IT"/>
          <w14:ligatures w14:val="none"/>
        </w:rPr>
        <w:t xml:space="preserve">Con l'articolo 13, comma 23 del decreto-legge n. 145 del 2013 era stato previsto un aumento della citata addizionale comunale sui diritti di imbarco per finanziare il "Fondo speciale per il sostegno del reddito e dell'occupazione del settore del trasporto aereo" quantificato </w:t>
      </w:r>
      <w:proofErr w:type="gramStart"/>
      <w:r w:rsidRPr="008E7F56">
        <w:rPr>
          <w:rFonts w:ascii="Titillium Web" w:eastAsia="Times New Roman" w:hAnsi="Titillium Web" w:cs="Times New Roman"/>
          <w:color w:val="212121"/>
          <w:kern w:val="0"/>
          <w:sz w:val="23"/>
          <w:szCs w:val="23"/>
          <w:lang w:eastAsia="it-IT"/>
          <w14:ligatures w14:val="none"/>
        </w:rPr>
        <w:t>in  euro</w:t>
      </w:r>
      <w:proofErr w:type="gramEnd"/>
      <w:r w:rsidRPr="008E7F56">
        <w:rPr>
          <w:rFonts w:ascii="Titillium Web" w:eastAsia="Times New Roman" w:hAnsi="Titillium Web" w:cs="Times New Roman"/>
          <w:color w:val="212121"/>
          <w:kern w:val="0"/>
          <w:sz w:val="23"/>
          <w:szCs w:val="23"/>
          <w:lang w:eastAsia="it-IT"/>
          <w14:ligatures w14:val="none"/>
        </w:rPr>
        <w:t xml:space="preserve"> 2,50 per l'anno 2016, euro 2,42 per l'anno 2017 e euro 2,34 per l'anno 2018 dal decreto del MIT 29 ottobre 2015. Tale incremento dell'addizionale è stato poi sospeso dal 1° settembre al 31 dicembre 2016 (art. 13-ter del decreto legge n. 113 del 2016) e quindi definitivamente soppresso dalla legge di Bilancio 2017 (legge n. 232 del 2016, comma 378</w:t>
      </w:r>
      <w:proofErr w:type="gramStart"/>
      <w:r w:rsidRPr="008E7F56">
        <w:rPr>
          <w:rFonts w:ascii="Titillium Web" w:eastAsia="Times New Roman" w:hAnsi="Titillium Web" w:cs="Times New Roman"/>
          <w:color w:val="212121"/>
          <w:kern w:val="0"/>
          <w:sz w:val="23"/>
          <w:szCs w:val="23"/>
          <w:lang w:eastAsia="it-IT"/>
          <w14:ligatures w14:val="none"/>
        </w:rPr>
        <w:t>)  a</w:t>
      </w:r>
      <w:proofErr w:type="gramEnd"/>
      <w:r w:rsidRPr="008E7F56">
        <w:rPr>
          <w:rFonts w:ascii="Titillium Web" w:eastAsia="Times New Roman" w:hAnsi="Titillium Web" w:cs="Times New Roman"/>
          <w:color w:val="212121"/>
          <w:kern w:val="0"/>
          <w:sz w:val="23"/>
          <w:szCs w:val="23"/>
          <w:lang w:eastAsia="it-IT"/>
          <w14:ligatures w14:val="none"/>
        </w:rPr>
        <w:t xml:space="preserve"> decorrere dal 1° gennaio 2017. </w:t>
      </w:r>
    </w:p>
    <w:p w14:paraId="4878A046" w14:textId="77777777" w:rsidR="008E7F56" w:rsidRDefault="008E7F56" w:rsidP="008E7F56">
      <w:pPr>
        <w:shd w:val="clear" w:color="auto" w:fill="FFFFFF" w:themeFill="background1"/>
        <w:spacing w:line="336" w:lineRule="atLeast"/>
        <w:rPr>
          <w:rFonts w:ascii="Titillium Web" w:eastAsia="Times New Roman" w:hAnsi="Titillium Web" w:cs="Times New Roman"/>
          <w:color w:val="212121"/>
          <w:kern w:val="0"/>
          <w:sz w:val="23"/>
          <w:szCs w:val="23"/>
          <w:lang w:eastAsia="it-IT"/>
          <w14:ligatures w14:val="none"/>
        </w:rPr>
      </w:pPr>
      <w:r w:rsidRPr="008E7F56">
        <w:rPr>
          <w:rFonts w:ascii="Titillium Web" w:eastAsia="Times New Roman" w:hAnsi="Titillium Web" w:cs="Times New Roman"/>
          <w:color w:val="212121"/>
          <w:kern w:val="0"/>
          <w:sz w:val="23"/>
          <w:szCs w:val="23"/>
          <w:lang w:eastAsia="it-IT"/>
          <w14:ligatures w14:val="none"/>
        </w:rPr>
        <w:t>L'art. 13-ter del D.L. n. 113 aveva incrementato per l'anno 2019 di 0,32 euro l'addizionale comunale sui diritti d'imbarco di cui all'articolo 6-quater, comma 2, del DL n. 7/2005. Tale incremento è stato tuttavia abrogato dall'articolo 26, comma 3. del decreto-legge n. 4 del 2019.</w:t>
      </w:r>
    </w:p>
    <w:p w14:paraId="724B46B6" w14:textId="77777777" w:rsidR="002378B7" w:rsidRDefault="002378B7" w:rsidP="008E7F56">
      <w:pPr>
        <w:shd w:val="clear" w:color="auto" w:fill="FFFFFF" w:themeFill="background1"/>
        <w:spacing w:line="336" w:lineRule="atLeast"/>
        <w:rPr>
          <w:rFonts w:ascii="Titillium Web" w:eastAsia="Times New Roman" w:hAnsi="Titillium Web" w:cs="Times New Roman"/>
          <w:color w:val="212121"/>
          <w:kern w:val="0"/>
          <w:sz w:val="23"/>
          <w:szCs w:val="23"/>
          <w:lang w:eastAsia="it-IT"/>
          <w14:ligatures w14:val="none"/>
        </w:rPr>
      </w:pPr>
    </w:p>
    <w:p w14:paraId="7D341C1E" w14:textId="48138FA1" w:rsidR="002378B7" w:rsidRDefault="00812B34" w:rsidP="003C641A">
      <w:pPr>
        <w:pBdr>
          <w:top w:val="single" w:sz="4" w:space="1" w:color="auto"/>
          <w:left w:val="single" w:sz="4" w:space="4" w:color="auto"/>
          <w:bottom w:val="single" w:sz="4" w:space="1" w:color="auto"/>
          <w:right w:val="single" w:sz="4" w:space="4" w:color="auto"/>
        </w:pBdr>
        <w:shd w:val="clear" w:color="auto" w:fill="FFFFFF" w:themeFill="background1"/>
        <w:spacing w:line="336" w:lineRule="atLeast"/>
        <w:rPr>
          <w:rFonts w:ascii="Montserrat" w:hAnsi="Montserrat"/>
          <w:color w:val="212529"/>
          <w:shd w:val="clear" w:color="auto" w:fill="FFFFFF"/>
        </w:rPr>
      </w:pPr>
      <w:r>
        <w:rPr>
          <w:rFonts w:ascii="Montserrat" w:hAnsi="Montserrat"/>
          <w:color w:val="212529"/>
          <w:shd w:val="clear" w:color="auto" w:fill="FFFFFF"/>
        </w:rPr>
        <w:t>Tirando le somme, l</w:t>
      </w:r>
      <w:r w:rsidR="002378B7">
        <w:rPr>
          <w:rFonts w:ascii="Montserrat" w:hAnsi="Montserrat"/>
          <w:color w:val="212529"/>
          <w:shd w:val="clear" w:color="auto" w:fill="FFFFFF"/>
        </w:rPr>
        <w:t>’addizionale comunale sui diritti di imbarco è stata istituita dalla</w:t>
      </w:r>
      <w:r w:rsidR="002378B7">
        <w:rPr>
          <w:rStyle w:val="Enfasigrassetto"/>
          <w:rFonts w:ascii="Montserrat" w:hAnsi="Montserrat"/>
          <w:color w:val="212529"/>
          <w:shd w:val="clear" w:color="auto" w:fill="FFFFFF"/>
        </w:rPr>
        <w:t> Legge Finanziaria per il 2004</w:t>
      </w:r>
      <w:r w:rsidR="002378B7">
        <w:rPr>
          <w:rFonts w:ascii="Montserrat" w:hAnsi="Montserrat"/>
          <w:color w:val="212529"/>
          <w:shd w:val="clear" w:color="auto" w:fill="FFFFFF"/>
        </w:rPr>
        <w:t> e originariamente si pagava </w:t>
      </w:r>
      <w:r w:rsidR="002378B7">
        <w:rPr>
          <w:rStyle w:val="Enfasigrassetto"/>
          <w:rFonts w:ascii="Montserrat" w:hAnsi="Montserrat"/>
          <w:color w:val="212529"/>
          <w:shd w:val="clear" w:color="auto" w:fill="FFFFFF"/>
        </w:rPr>
        <w:t>1 euro</w:t>
      </w:r>
      <w:r w:rsidR="002378B7">
        <w:rPr>
          <w:rFonts w:ascii="Montserrat" w:hAnsi="Montserrat"/>
          <w:color w:val="212529"/>
          <w:shd w:val="clear" w:color="auto" w:fill="FFFFFF"/>
        </w:rPr>
        <w:t> per passeggero imbarcato: nel corso degli anni </w:t>
      </w:r>
      <w:r w:rsidR="002378B7">
        <w:rPr>
          <w:rFonts w:ascii="Montserrat" w:hAnsi="Montserrat"/>
          <w:b/>
          <w:bCs/>
          <w:color w:val="212529"/>
          <w:shd w:val="clear" w:color="auto" w:fill="FFFFFF"/>
        </w:rPr>
        <w:t>l’importo è cresciuto da 1 a 6,50 euro a passeggero</w:t>
      </w:r>
      <w:r w:rsidR="002378B7">
        <w:rPr>
          <w:rFonts w:ascii="Montserrat" w:hAnsi="Montserrat"/>
          <w:color w:val="212529"/>
          <w:shd w:val="clear" w:color="auto" w:fill="FFFFFF"/>
        </w:rPr>
        <w:t>.</w:t>
      </w:r>
    </w:p>
    <w:p w14:paraId="4E100829" w14:textId="34F3843D" w:rsidR="002378B7" w:rsidRDefault="002378B7" w:rsidP="008E7F56">
      <w:pPr>
        <w:shd w:val="clear" w:color="auto" w:fill="FFFFFF" w:themeFill="background1"/>
        <w:spacing w:line="336" w:lineRule="atLeast"/>
        <w:rPr>
          <w:rFonts w:ascii="Montserrat" w:hAnsi="Montserrat"/>
          <w:color w:val="212529"/>
          <w:shd w:val="clear" w:color="auto" w:fill="FFFFFF"/>
        </w:rPr>
      </w:pPr>
      <w:r>
        <w:rPr>
          <w:rFonts w:ascii="Montserrat" w:hAnsi="Montserrat"/>
          <w:color w:val="212529"/>
          <w:shd w:val="clear" w:color="auto" w:fill="FFFFFF"/>
        </w:rPr>
        <w:t>E poi il governo se la prende con le compagnie aeree</w:t>
      </w:r>
      <w:r w:rsidR="001D60DC">
        <w:rPr>
          <w:rFonts w:ascii="Montserrat" w:hAnsi="Montserrat"/>
          <w:color w:val="212529"/>
          <w:shd w:val="clear" w:color="auto" w:fill="FFFFFF"/>
        </w:rPr>
        <w:t xml:space="preserve"> </w:t>
      </w:r>
      <w:r w:rsidR="003C641A">
        <w:rPr>
          <w:rFonts w:ascii="Montserrat" w:hAnsi="Montserrat"/>
          <w:color w:val="212529"/>
          <w:shd w:val="clear" w:color="auto" w:fill="FFFFFF"/>
        </w:rPr>
        <w:t>invitandole a calmierare le tariffe applicate….</w:t>
      </w:r>
    </w:p>
    <w:p w14:paraId="2DF9FC88" w14:textId="543DE2D6" w:rsidR="00812B34" w:rsidRPr="003836E3" w:rsidRDefault="001E3561" w:rsidP="008E7F56">
      <w:pPr>
        <w:shd w:val="clear" w:color="auto" w:fill="FFFFFF" w:themeFill="background1"/>
        <w:spacing w:line="336" w:lineRule="atLeast"/>
        <w:rPr>
          <w:rFonts w:ascii="Montserrat" w:hAnsi="Montserrat"/>
          <w:color w:val="FF0000"/>
          <w:sz w:val="18"/>
          <w:szCs w:val="18"/>
          <w:shd w:val="clear" w:color="auto" w:fill="FFFFFF"/>
        </w:rPr>
      </w:pPr>
      <w:r>
        <w:rPr>
          <w:rFonts w:ascii="Montserrat" w:hAnsi="Montserrat"/>
          <w:color w:val="212529"/>
          <w:shd w:val="clear" w:color="auto" w:fill="FFFFFF"/>
        </w:rPr>
        <w:t>Quanto incassano i Comuni a seguito di questa cascata di normative (a carico del passeggero che vola)?  Ecco la tab</w:t>
      </w:r>
      <w:r w:rsidR="00BD5686">
        <w:rPr>
          <w:rFonts w:ascii="Montserrat" w:hAnsi="Montserrat"/>
          <w:color w:val="212529"/>
          <w:shd w:val="clear" w:color="auto" w:fill="FFFFFF"/>
        </w:rPr>
        <w:t xml:space="preserve">ella che mostra quanto è stato </w:t>
      </w:r>
      <w:r w:rsidR="00496FF6">
        <w:rPr>
          <w:rFonts w:ascii="Montserrat" w:hAnsi="Montserrat"/>
          <w:color w:val="212529"/>
          <w:shd w:val="clear" w:color="auto" w:fill="FFFFFF"/>
        </w:rPr>
        <w:t xml:space="preserve">elargito </w:t>
      </w:r>
      <w:r w:rsidR="00BD5686">
        <w:rPr>
          <w:rFonts w:ascii="Montserrat" w:hAnsi="Montserrat"/>
          <w:color w:val="212529"/>
          <w:shd w:val="clear" w:color="auto" w:fill="FFFFFF"/>
        </w:rPr>
        <w:t>ai comuni interessati.</w:t>
      </w:r>
      <w:r w:rsidR="003836E3">
        <w:rPr>
          <w:rFonts w:ascii="Montserrat" w:hAnsi="Montserrat"/>
          <w:color w:val="212529"/>
          <w:shd w:val="clear" w:color="auto" w:fill="FFFFFF"/>
        </w:rPr>
        <w:t xml:space="preserve"> </w:t>
      </w:r>
      <w:r w:rsidR="003836E3" w:rsidRPr="003836E3">
        <w:rPr>
          <w:rFonts w:ascii="Montserrat" w:hAnsi="Montserrat"/>
          <w:color w:val="FF0000"/>
          <w:sz w:val="18"/>
          <w:szCs w:val="18"/>
          <w:shd w:val="clear" w:color="auto" w:fill="FFFFFF"/>
        </w:rPr>
        <w:t>(8)</w:t>
      </w:r>
    </w:p>
    <w:p w14:paraId="264D1062" w14:textId="1621281F" w:rsidR="00091757" w:rsidRDefault="0016275E" w:rsidP="004C3C72">
      <w:pPr>
        <w:shd w:val="clear" w:color="auto" w:fill="FFFFFF" w:themeFill="background1"/>
        <w:spacing w:line="336" w:lineRule="atLeast"/>
        <w:jc w:val="center"/>
        <w:rPr>
          <w:rFonts w:ascii="Titillium Web" w:eastAsia="Times New Roman" w:hAnsi="Titillium Web" w:cs="Times New Roman"/>
          <w:color w:val="212121"/>
          <w:kern w:val="0"/>
          <w:sz w:val="23"/>
          <w:szCs w:val="23"/>
          <w:lang w:eastAsia="it-IT"/>
          <w14:ligatures w14:val="none"/>
        </w:rPr>
      </w:pPr>
      <w:r>
        <w:rPr>
          <w:rFonts w:ascii="Titillium Web" w:eastAsia="Times New Roman" w:hAnsi="Titillium Web" w:cs="Times New Roman"/>
          <w:noProof/>
          <w:color w:val="212121"/>
          <w:kern w:val="0"/>
          <w:sz w:val="23"/>
          <w:szCs w:val="23"/>
          <w:lang w:eastAsia="it-IT"/>
        </w:rPr>
        <w:lastRenderedPageBreak/>
        <w:drawing>
          <wp:inline distT="0" distB="0" distL="0" distR="0" wp14:anchorId="55EB12E4" wp14:editId="050525F0">
            <wp:extent cx="3661200" cy="5191200"/>
            <wp:effectExtent l="0" t="0" r="0" b="0"/>
            <wp:docPr id="200086434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864346" name="Immagine 2000864346"/>
                    <pic:cNvPicPr/>
                  </pic:nvPicPr>
                  <pic:blipFill>
                    <a:blip r:embed="rId6">
                      <a:extLst>
                        <a:ext uri="{28A0092B-C50C-407E-A947-70E740481C1C}">
                          <a14:useLocalDpi xmlns:a14="http://schemas.microsoft.com/office/drawing/2010/main" val="0"/>
                        </a:ext>
                      </a:extLst>
                    </a:blip>
                    <a:stretch>
                      <a:fillRect/>
                    </a:stretch>
                  </pic:blipFill>
                  <pic:spPr>
                    <a:xfrm>
                      <a:off x="0" y="0"/>
                      <a:ext cx="3661200" cy="5191200"/>
                    </a:xfrm>
                    <a:prstGeom prst="rect">
                      <a:avLst/>
                    </a:prstGeom>
                  </pic:spPr>
                </pic:pic>
              </a:graphicData>
            </a:graphic>
          </wp:inline>
        </w:drawing>
      </w:r>
      <w:r>
        <w:rPr>
          <w:rFonts w:ascii="Titillium Web" w:eastAsia="Times New Roman" w:hAnsi="Titillium Web" w:cs="Times New Roman"/>
          <w:noProof/>
          <w:color w:val="212121"/>
          <w:kern w:val="0"/>
          <w:sz w:val="23"/>
          <w:szCs w:val="23"/>
          <w:lang w:eastAsia="it-IT"/>
        </w:rPr>
        <w:lastRenderedPageBreak/>
        <w:drawing>
          <wp:inline distT="0" distB="0" distL="0" distR="0" wp14:anchorId="110CE5B0" wp14:editId="4A3F9A09">
            <wp:extent cx="4204800" cy="4388400"/>
            <wp:effectExtent l="0" t="0" r="5715" b="0"/>
            <wp:docPr id="136393191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931912" name="Immagine 1363931912"/>
                    <pic:cNvPicPr/>
                  </pic:nvPicPr>
                  <pic:blipFill>
                    <a:blip r:embed="rId7">
                      <a:extLst>
                        <a:ext uri="{28A0092B-C50C-407E-A947-70E740481C1C}">
                          <a14:useLocalDpi xmlns:a14="http://schemas.microsoft.com/office/drawing/2010/main" val="0"/>
                        </a:ext>
                      </a:extLst>
                    </a:blip>
                    <a:stretch>
                      <a:fillRect/>
                    </a:stretch>
                  </pic:blipFill>
                  <pic:spPr>
                    <a:xfrm>
                      <a:off x="0" y="0"/>
                      <a:ext cx="4204800" cy="4388400"/>
                    </a:xfrm>
                    <a:prstGeom prst="rect">
                      <a:avLst/>
                    </a:prstGeom>
                  </pic:spPr>
                </pic:pic>
              </a:graphicData>
            </a:graphic>
          </wp:inline>
        </w:drawing>
      </w:r>
    </w:p>
    <w:p w14:paraId="40986E86" w14:textId="77777777" w:rsidR="00F6669A" w:rsidRDefault="00F6669A" w:rsidP="008E7F56">
      <w:pPr>
        <w:shd w:val="clear" w:color="auto" w:fill="FFFFFF" w:themeFill="background1"/>
        <w:spacing w:line="336" w:lineRule="atLeast"/>
        <w:rPr>
          <w:rFonts w:ascii="Titillium Web" w:eastAsia="Times New Roman" w:hAnsi="Titillium Web" w:cs="Times New Roman"/>
          <w:color w:val="212121"/>
          <w:kern w:val="0"/>
          <w:sz w:val="23"/>
          <w:szCs w:val="23"/>
          <w:lang w:eastAsia="it-IT"/>
          <w14:ligatures w14:val="none"/>
        </w:rPr>
      </w:pPr>
    </w:p>
    <w:p w14:paraId="3F314FC4" w14:textId="77777777" w:rsidR="00251054" w:rsidRDefault="00251054" w:rsidP="008E7F56">
      <w:pPr>
        <w:shd w:val="clear" w:color="auto" w:fill="FFFFFF" w:themeFill="background1"/>
        <w:spacing w:line="336" w:lineRule="atLeast"/>
        <w:rPr>
          <w:rFonts w:ascii="Titillium Web" w:eastAsia="Times New Roman" w:hAnsi="Titillium Web" w:cs="Times New Roman"/>
          <w:color w:val="212121"/>
          <w:kern w:val="0"/>
          <w:sz w:val="23"/>
          <w:szCs w:val="23"/>
          <w:lang w:eastAsia="it-IT"/>
          <w14:ligatures w14:val="none"/>
        </w:rPr>
      </w:pPr>
    </w:p>
    <w:p w14:paraId="216F4E9E" w14:textId="77777777" w:rsidR="00251054" w:rsidRDefault="00251054" w:rsidP="008E7F56">
      <w:pPr>
        <w:shd w:val="clear" w:color="auto" w:fill="FFFFFF" w:themeFill="background1"/>
        <w:spacing w:line="336" w:lineRule="atLeast"/>
        <w:rPr>
          <w:rFonts w:ascii="Titillium Web" w:eastAsia="Times New Roman" w:hAnsi="Titillium Web" w:cs="Times New Roman"/>
          <w:color w:val="212121"/>
          <w:kern w:val="0"/>
          <w:sz w:val="23"/>
          <w:szCs w:val="23"/>
          <w:lang w:eastAsia="it-IT"/>
          <w14:ligatures w14:val="none"/>
        </w:rPr>
      </w:pPr>
    </w:p>
    <w:p w14:paraId="33D478A3" w14:textId="7CE64F32" w:rsidR="003836E3" w:rsidRDefault="001C58C0" w:rsidP="004C3C72">
      <w:pPr>
        <w:shd w:val="clear" w:color="auto" w:fill="FFFFFF" w:themeFill="background1"/>
        <w:spacing w:line="336" w:lineRule="atLeast"/>
        <w:jc w:val="center"/>
        <w:rPr>
          <w:rFonts w:ascii="Titillium Web" w:eastAsia="Times New Roman" w:hAnsi="Titillium Web" w:cs="Times New Roman"/>
          <w:color w:val="212121"/>
          <w:kern w:val="0"/>
          <w:sz w:val="23"/>
          <w:szCs w:val="23"/>
          <w:lang w:eastAsia="it-IT"/>
          <w14:ligatures w14:val="none"/>
        </w:rPr>
      </w:pPr>
      <w:r w:rsidRPr="004C3C72">
        <w:rPr>
          <w:rFonts w:ascii="Titillium Web" w:eastAsia="Times New Roman" w:hAnsi="Titillium Web" w:cs="Times New Roman"/>
          <w:noProof/>
          <w:color w:val="212121"/>
          <w:kern w:val="0"/>
          <w:sz w:val="23"/>
          <w:szCs w:val="23"/>
          <w:bdr w:val="single" w:sz="12" w:space="0" w:color="auto"/>
          <w:lang w:eastAsia="it-IT"/>
        </w:rPr>
        <w:drawing>
          <wp:inline distT="0" distB="0" distL="0" distR="0" wp14:anchorId="2A7921B5" wp14:editId="0D78C053">
            <wp:extent cx="3211200" cy="2383200"/>
            <wp:effectExtent l="0" t="0" r="8255" b="0"/>
            <wp:docPr id="88528583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285835" name="Immagine 885285835"/>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11200" cy="2383200"/>
                    </a:xfrm>
                    <a:prstGeom prst="rect">
                      <a:avLst/>
                    </a:prstGeom>
                  </pic:spPr>
                </pic:pic>
              </a:graphicData>
            </a:graphic>
          </wp:inline>
        </w:drawing>
      </w:r>
    </w:p>
    <w:p w14:paraId="14072ADC" w14:textId="11473F0F" w:rsidR="003836E3" w:rsidRPr="00F71235" w:rsidRDefault="00BC2B8B" w:rsidP="00BC2B8B">
      <w:pPr>
        <w:shd w:val="clear" w:color="auto" w:fill="FFFFFF" w:themeFill="background1"/>
        <w:spacing w:line="336" w:lineRule="atLeast"/>
        <w:ind w:left="2124"/>
        <w:rPr>
          <w:rFonts w:ascii="Titillium Web" w:eastAsia="Times New Roman" w:hAnsi="Titillium Web" w:cs="Times New Roman"/>
          <w:i/>
          <w:iCs/>
          <w:color w:val="212121"/>
          <w:kern w:val="0"/>
          <w:sz w:val="18"/>
          <w:szCs w:val="18"/>
          <w:lang w:eastAsia="it-IT"/>
          <w14:ligatures w14:val="none"/>
        </w:rPr>
      </w:pPr>
      <w:r>
        <w:rPr>
          <w:rFonts w:ascii="Titillium Web" w:eastAsia="Times New Roman" w:hAnsi="Titillium Web" w:cs="Times New Roman"/>
          <w:i/>
          <w:iCs/>
          <w:color w:val="212121"/>
          <w:kern w:val="0"/>
          <w:sz w:val="18"/>
          <w:szCs w:val="18"/>
          <w:lang w:eastAsia="it-IT"/>
          <w14:ligatures w14:val="none"/>
        </w:rPr>
        <w:t xml:space="preserve">     </w:t>
      </w:r>
      <w:r w:rsidR="00F71235">
        <w:rPr>
          <w:rFonts w:ascii="Titillium Web" w:eastAsia="Times New Roman" w:hAnsi="Titillium Web" w:cs="Times New Roman"/>
          <w:i/>
          <w:iCs/>
          <w:color w:val="212121"/>
          <w:kern w:val="0"/>
          <w:sz w:val="18"/>
          <w:szCs w:val="18"/>
          <w:lang w:eastAsia="it-IT"/>
          <w14:ligatures w14:val="none"/>
        </w:rPr>
        <w:t xml:space="preserve">Giugno 2023: viene data notizia </w:t>
      </w:r>
      <w:r>
        <w:rPr>
          <w:rFonts w:ascii="Titillium Web" w:eastAsia="Times New Roman" w:hAnsi="Titillium Web" w:cs="Times New Roman"/>
          <w:i/>
          <w:iCs/>
          <w:color w:val="212121"/>
          <w:kern w:val="0"/>
          <w:sz w:val="18"/>
          <w:szCs w:val="18"/>
          <w:lang w:eastAsia="it-IT"/>
          <w14:ligatures w14:val="none"/>
        </w:rPr>
        <w:t>del pagamento effettuato ai comuni</w:t>
      </w:r>
    </w:p>
    <w:p w14:paraId="1CA2E920" w14:textId="77777777" w:rsidR="003836E3" w:rsidRDefault="003836E3" w:rsidP="008E7F56">
      <w:pPr>
        <w:shd w:val="clear" w:color="auto" w:fill="FFFFFF" w:themeFill="background1"/>
        <w:spacing w:line="336" w:lineRule="atLeast"/>
        <w:rPr>
          <w:rFonts w:ascii="Titillium Web" w:eastAsia="Times New Roman" w:hAnsi="Titillium Web" w:cs="Times New Roman"/>
          <w:color w:val="212121"/>
          <w:kern w:val="0"/>
          <w:sz w:val="23"/>
          <w:szCs w:val="23"/>
          <w:lang w:eastAsia="it-IT"/>
          <w14:ligatures w14:val="none"/>
        </w:rPr>
      </w:pPr>
    </w:p>
    <w:p w14:paraId="233C3F39" w14:textId="77777777" w:rsidR="003836E3" w:rsidRDefault="003836E3" w:rsidP="008E7F56">
      <w:pPr>
        <w:shd w:val="clear" w:color="auto" w:fill="FFFFFF" w:themeFill="background1"/>
        <w:spacing w:line="336" w:lineRule="atLeast"/>
        <w:rPr>
          <w:rFonts w:ascii="Titillium Web" w:eastAsia="Times New Roman" w:hAnsi="Titillium Web" w:cs="Times New Roman"/>
          <w:color w:val="212121"/>
          <w:kern w:val="0"/>
          <w:sz w:val="23"/>
          <w:szCs w:val="23"/>
          <w:lang w:eastAsia="it-IT"/>
          <w14:ligatures w14:val="none"/>
        </w:rPr>
      </w:pPr>
    </w:p>
    <w:p w14:paraId="01FD833C" w14:textId="77777777" w:rsidR="00251054" w:rsidRDefault="00251054" w:rsidP="008E7F56">
      <w:pPr>
        <w:shd w:val="clear" w:color="auto" w:fill="FFFFFF" w:themeFill="background1"/>
        <w:spacing w:line="336" w:lineRule="atLeast"/>
        <w:rPr>
          <w:rFonts w:ascii="Titillium Web" w:eastAsia="Times New Roman" w:hAnsi="Titillium Web" w:cs="Times New Roman"/>
          <w:color w:val="212121"/>
          <w:kern w:val="0"/>
          <w:sz w:val="23"/>
          <w:szCs w:val="23"/>
          <w:lang w:eastAsia="it-IT"/>
          <w14:ligatures w14:val="none"/>
        </w:rPr>
      </w:pPr>
    </w:p>
    <w:p w14:paraId="2B723DF3" w14:textId="22629794" w:rsidR="00F6669A" w:rsidRPr="003E69E9" w:rsidRDefault="00F6669A" w:rsidP="003E69E9">
      <w:pPr>
        <w:pStyle w:val="Paragrafoelenco"/>
        <w:numPr>
          <w:ilvl w:val="0"/>
          <w:numId w:val="1"/>
        </w:numPr>
        <w:shd w:val="clear" w:color="auto" w:fill="FFFFFF" w:themeFill="background1"/>
        <w:spacing w:after="0" w:line="240" w:lineRule="auto"/>
        <w:rPr>
          <w:rFonts w:ascii="Titillium Web" w:eastAsia="Times New Roman" w:hAnsi="Titillium Web" w:cs="Times New Roman"/>
          <w:color w:val="212121"/>
          <w:kern w:val="0"/>
          <w:sz w:val="18"/>
          <w:szCs w:val="18"/>
          <w:lang w:eastAsia="it-IT"/>
          <w14:ligatures w14:val="none"/>
        </w:rPr>
      </w:pPr>
      <w:r w:rsidRPr="003E69E9">
        <w:rPr>
          <w:rFonts w:ascii="Titillium Web" w:eastAsia="Times New Roman" w:hAnsi="Titillium Web" w:cs="Times New Roman"/>
          <w:color w:val="212121"/>
          <w:kern w:val="0"/>
          <w:sz w:val="18"/>
          <w:szCs w:val="18"/>
          <w:lang w:eastAsia="it-IT"/>
          <w14:ligatures w14:val="none"/>
        </w:rPr>
        <w:t>Articolo 2, comma 11 della legge n. 350 del 2003</w:t>
      </w:r>
    </w:p>
    <w:p w14:paraId="0EFE4383" w14:textId="30D5BA03" w:rsidR="001347FD" w:rsidRPr="003E69E9" w:rsidRDefault="001347FD" w:rsidP="003E69E9">
      <w:pPr>
        <w:pStyle w:val="Paragrafoelenco"/>
        <w:numPr>
          <w:ilvl w:val="0"/>
          <w:numId w:val="1"/>
        </w:numPr>
        <w:shd w:val="clear" w:color="auto" w:fill="FFFFFF" w:themeFill="background1"/>
        <w:spacing w:after="0" w:line="240" w:lineRule="auto"/>
        <w:rPr>
          <w:rFonts w:ascii="Titillium Web" w:eastAsia="Times New Roman" w:hAnsi="Titillium Web" w:cs="Times New Roman"/>
          <w:color w:val="212121"/>
          <w:kern w:val="0"/>
          <w:sz w:val="18"/>
          <w:szCs w:val="18"/>
          <w:lang w:eastAsia="it-IT"/>
          <w14:ligatures w14:val="none"/>
        </w:rPr>
      </w:pPr>
      <w:r w:rsidRPr="003E69E9">
        <w:rPr>
          <w:rFonts w:ascii="Titillium Web" w:eastAsia="Times New Roman" w:hAnsi="Titillium Web" w:cs="Times New Roman"/>
          <w:color w:val="212121"/>
          <w:kern w:val="0"/>
          <w:sz w:val="18"/>
          <w:szCs w:val="18"/>
          <w:lang w:eastAsia="it-IT"/>
          <w14:ligatures w14:val="none"/>
        </w:rPr>
        <w:t>Articolo 6-quater del citato Decreto</w:t>
      </w:r>
    </w:p>
    <w:p w14:paraId="3B45CB7B" w14:textId="2FC450A5" w:rsidR="00F147B4" w:rsidRPr="003E69E9" w:rsidRDefault="007C69E3" w:rsidP="003E69E9">
      <w:pPr>
        <w:pStyle w:val="Paragrafoelenco"/>
        <w:numPr>
          <w:ilvl w:val="0"/>
          <w:numId w:val="1"/>
        </w:numPr>
        <w:shd w:val="clear" w:color="auto" w:fill="FFFFFF" w:themeFill="background1"/>
        <w:spacing w:after="0" w:line="240" w:lineRule="auto"/>
        <w:rPr>
          <w:rFonts w:ascii="Titillium Web" w:eastAsia="Times New Roman" w:hAnsi="Titillium Web" w:cs="Times New Roman"/>
          <w:color w:val="212121"/>
          <w:kern w:val="0"/>
          <w:sz w:val="18"/>
          <w:szCs w:val="18"/>
          <w:lang w:eastAsia="it-IT"/>
          <w14:ligatures w14:val="none"/>
        </w:rPr>
      </w:pPr>
      <w:r w:rsidRPr="003E69E9">
        <w:rPr>
          <w:rFonts w:ascii="Titillium Web" w:hAnsi="Titillium Web"/>
          <w:color w:val="212121"/>
          <w:sz w:val="18"/>
          <w:szCs w:val="18"/>
        </w:rPr>
        <w:t>C</w:t>
      </w:r>
      <w:r w:rsidR="00F147B4" w:rsidRPr="003E69E9">
        <w:rPr>
          <w:rFonts w:ascii="Titillium Web" w:hAnsi="Titillium Web"/>
          <w:color w:val="212121"/>
          <w:sz w:val="18"/>
          <w:szCs w:val="18"/>
        </w:rPr>
        <w:t>ostituito ai sensi dell'articolo 1-ter del decreto-legge 5 ottobre 2004, n. 249 </w:t>
      </w:r>
    </w:p>
    <w:p w14:paraId="3261A1F3" w14:textId="4AE93B37" w:rsidR="00F7245F" w:rsidRPr="003E69E9" w:rsidRDefault="00F7245F" w:rsidP="003E69E9">
      <w:pPr>
        <w:pStyle w:val="Paragrafoelenco"/>
        <w:numPr>
          <w:ilvl w:val="0"/>
          <w:numId w:val="1"/>
        </w:numPr>
        <w:shd w:val="clear" w:color="auto" w:fill="FFFFFF" w:themeFill="background1"/>
        <w:spacing w:after="0" w:line="240" w:lineRule="auto"/>
        <w:rPr>
          <w:rFonts w:ascii="Titillium Web" w:eastAsia="Times New Roman" w:hAnsi="Titillium Web" w:cs="Times New Roman"/>
          <w:color w:val="212121"/>
          <w:kern w:val="0"/>
          <w:sz w:val="18"/>
          <w:szCs w:val="18"/>
          <w:lang w:eastAsia="it-IT"/>
          <w14:ligatures w14:val="none"/>
        </w:rPr>
      </w:pPr>
      <w:r w:rsidRPr="003E69E9">
        <w:rPr>
          <w:rFonts w:ascii="Titillium Web" w:hAnsi="Titillium Web"/>
          <w:color w:val="212121"/>
          <w:sz w:val="18"/>
          <w:szCs w:val="18"/>
        </w:rPr>
        <w:t>Letteralmente tratto da: Camera dei Deputat</w:t>
      </w:r>
      <w:r w:rsidR="00CC38EF" w:rsidRPr="003E69E9">
        <w:rPr>
          <w:rFonts w:ascii="Titillium Web" w:hAnsi="Titillium Web"/>
          <w:color w:val="212121"/>
          <w:sz w:val="18"/>
          <w:szCs w:val="18"/>
        </w:rPr>
        <w:t>i</w:t>
      </w:r>
      <w:r w:rsidR="00F26857" w:rsidRPr="003E69E9">
        <w:rPr>
          <w:rFonts w:ascii="Titillium Web" w:hAnsi="Titillium Web"/>
          <w:color w:val="212121"/>
          <w:sz w:val="18"/>
          <w:szCs w:val="18"/>
        </w:rPr>
        <w:t xml:space="preserve">, Servizio Studi, XVIII </w:t>
      </w:r>
      <w:r w:rsidR="002E411C" w:rsidRPr="003E69E9">
        <w:rPr>
          <w:rFonts w:ascii="Titillium Web" w:hAnsi="Titillium Web"/>
          <w:color w:val="212121"/>
          <w:sz w:val="18"/>
          <w:szCs w:val="18"/>
        </w:rPr>
        <w:t>legislatura</w:t>
      </w:r>
      <w:r w:rsidR="00F26857" w:rsidRPr="003E69E9">
        <w:rPr>
          <w:rFonts w:ascii="Titillium Web" w:hAnsi="Titillium Web"/>
          <w:color w:val="212121"/>
          <w:sz w:val="18"/>
          <w:szCs w:val="18"/>
        </w:rPr>
        <w:t>, “Il sistema aeroportuale e il trasporto aereo”, 23 ottobre 2019.</w:t>
      </w:r>
    </w:p>
    <w:p w14:paraId="7D8B70DC" w14:textId="5C0BD763" w:rsidR="007C69E3" w:rsidRPr="003E69E9" w:rsidRDefault="007C69E3" w:rsidP="003E69E9">
      <w:pPr>
        <w:pStyle w:val="Paragrafoelenco"/>
        <w:numPr>
          <w:ilvl w:val="0"/>
          <w:numId w:val="1"/>
        </w:numPr>
        <w:shd w:val="clear" w:color="auto" w:fill="FFFFFF" w:themeFill="background1"/>
        <w:spacing w:after="0" w:line="240" w:lineRule="auto"/>
        <w:rPr>
          <w:rFonts w:ascii="Titillium Web" w:eastAsia="Times New Roman" w:hAnsi="Titillium Web" w:cs="Times New Roman"/>
          <w:i/>
          <w:iCs/>
          <w:color w:val="212121"/>
          <w:kern w:val="0"/>
          <w:sz w:val="18"/>
          <w:szCs w:val="18"/>
          <w:lang w:eastAsia="it-IT"/>
          <w14:ligatures w14:val="none"/>
        </w:rPr>
      </w:pPr>
      <w:r w:rsidRPr="003E69E9">
        <w:rPr>
          <w:rFonts w:ascii="Titillium Web" w:hAnsi="Titillium Web"/>
          <w:i/>
          <w:iCs/>
          <w:color w:val="212121"/>
          <w:sz w:val="18"/>
          <w:szCs w:val="18"/>
        </w:rPr>
        <w:t>Come sopra</w:t>
      </w:r>
      <w:r w:rsidR="00B037EB" w:rsidRPr="003E69E9">
        <w:rPr>
          <w:rFonts w:ascii="Titillium Web" w:hAnsi="Titillium Web"/>
          <w:i/>
          <w:iCs/>
          <w:color w:val="212121"/>
          <w:sz w:val="18"/>
          <w:szCs w:val="18"/>
        </w:rPr>
        <w:t xml:space="preserve"> </w:t>
      </w:r>
    </w:p>
    <w:p w14:paraId="58FB0CCA" w14:textId="3F504728" w:rsidR="007D03E7" w:rsidRPr="003E69E9" w:rsidRDefault="007D03E7" w:rsidP="003E69E9">
      <w:pPr>
        <w:pStyle w:val="NormaleWeb"/>
        <w:numPr>
          <w:ilvl w:val="0"/>
          <w:numId w:val="1"/>
        </w:numPr>
        <w:shd w:val="clear" w:color="auto" w:fill="FFFFFF" w:themeFill="background1"/>
        <w:spacing w:before="0" w:beforeAutospacing="0" w:after="0" w:afterAutospacing="0"/>
        <w:rPr>
          <w:rFonts w:ascii="Titillium Web" w:hAnsi="Titillium Web"/>
          <w:color w:val="212121"/>
          <w:sz w:val="18"/>
          <w:szCs w:val="18"/>
        </w:rPr>
      </w:pPr>
      <w:r w:rsidRPr="003E69E9">
        <w:rPr>
          <w:rFonts w:ascii="Titillium Web" w:hAnsi="Titillium Web"/>
          <w:color w:val="212121"/>
          <w:sz w:val="18"/>
          <w:szCs w:val="18"/>
        </w:rPr>
        <w:t>articolo 1, comma 1328, della legge n. 296 del 2006.</w:t>
      </w:r>
    </w:p>
    <w:p w14:paraId="2B294BE4" w14:textId="3242307E" w:rsidR="0079077B" w:rsidRPr="003E69E9" w:rsidRDefault="0079077B" w:rsidP="003E69E9">
      <w:pPr>
        <w:pStyle w:val="NormaleWeb"/>
        <w:numPr>
          <w:ilvl w:val="0"/>
          <w:numId w:val="1"/>
        </w:numPr>
        <w:shd w:val="clear" w:color="auto" w:fill="FFFFFF" w:themeFill="background1"/>
        <w:spacing w:before="0" w:beforeAutospacing="0" w:after="0" w:afterAutospacing="0"/>
        <w:rPr>
          <w:rFonts w:ascii="Titillium Web" w:hAnsi="Titillium Web"/>
          <w:color w:val="212121"/>
          <w:sz w:val="18"/>
          <w:szCs w:val="18"/>
        </w:rPr>
      </w:pPr>
      <w:r w:rsidRPr="003E69E9">
        <w:rPr>
          <w:rFonts w:ascii="Titillium Web" w:hAnsi="Titillium Web"/>
          <w:color w:val="212121"/>
          <w:sz w:val="18"/>
          <w:szCs w:val="18"/>
        </w:rPr>
        <w:t>articolo 13, comma 16, del decreto-legge n. 145 del 2013.</w:t>
      </w:r>
    </w:p>
    <w:p w14:paraId="6D2F69AA" w14:textId="01F6BA17" w:rsidR="003836E3" w:rsidRPr="003E69E9" w:rsidRDefault="003836E3" w:rsidP="003E69E9">
      <w:pPr>
        <w:pStyle w:val="NormaleWeb"/>
        <w:numPr>
          <w:ilvl w:val="0"/>
          <w:numId w:val="1"/>
        </w:numPr>
        <w:shd w:val="clear" w:color="auto" w:fill="FFFFFF" w:themeFill="background1"/>
        <w:spacing w:before="0" w:beforeAutospacing="0" w:after="0" w:afterAutospacing="0"/>
        <w:rPr>
          <w:rFonts w:ascii="Titillium Web" w:hAnsi="Titillium Web"/>
          <w:color w:val="212121"/>
          <w:sz w:val="18"/>
          <w:szCs w:val="18"/>
        </w:rPr>
      </w:pPr>
      <w:r w:rsidRPr="003E69E9">
        <w:rPr>
          <w:rFonts w:ascii="Titillium Web" w:hAnsi="Titillium Web"/>
          <w:color w:val="212121"/>
          <w:sz w:val="18"/>
          <w:szCs w:val="18"/>
        </w:rPr>
        <w:t xml:space="preserve">Tabella tratta da: </w:t>
      </w:r>
      <w:r w:rsidR="0009783D" w:rsidRPr="003E69E9">
        <w:rPr>
          <w:rFonts w:ascii="Titillium Web" w:hAnsi="Titillium Web" w:cs="Arial"/>
          <w:color w:val="4A4A4A"/>
          <w:sz w:val="18"/>
          <w:szCs w:val="18"/>
        </w:rPr>
        <w:t>Il Ministero dell</w:t>
      </w:r>
      <w:r w:rsidR="0009783D" w:rsidRPr="003E69E9">
        <w:rPr>
          <w:rFonts w:ascii="Titillium Web" w:hAnsi="Titillium Web"/>
          <w:color w:val="4A4A4A"/>
          <w:sz w:val="18"/>
          <w:szCs w:val="18"/>
        </w:rPr>
        <w:t>’</w:t>
      </w:r>
      <w:r w:rsidR="0009783D" w:rsidRPr="003E69E9">
        <w:rPr>
          <w:rFonts w:ascii="Titillium Web" w:hAnsi="Titillium Web" w:cs="Arial"/>
          <w:color w:val="4A4A4A"/>
          <w:sz w:val="18"/>
          <w:szCs w:val="18"/>
        </w:rPr>
        <w:t xml:space="preserve">Interno </w:t>
      </w:r>
      <w:r w:rsidR="0009783D" w:rsidRPr="003E69E9">
        <w:rPr>
          <w:rFonts w:ascii="Titillium Web" w:hAnsi="Titillium Web"/>
          <w:color w:val="4A4A4A"/>
          <w:sz w:val="18"/>
          <w:szCs w:val="18"/>
        </w:rPr>
        <w:t>–</w:t>
      </w:r>
      <w:r w:rsidR="0009783D" w:rsidRPr="003E69E9">
        <w:rPr>
          <w:rFonts w:ascii="Titillium Web" w:hAnsi="Titillium Web" w:cs="Arial"/>
          <w:color w:val="4A4A4A"/>
          <w:sz w:val="18"/>
          <w:szCs w:val="18"/>
        </w:rPr>
        <w:t xml:space="preserve"> Dipartimento per gli Affari Interni e Territoriali </w:t>
      </w:r>
      <w:r w:rsidR="0009783D" w:rsidRPr="003E69E9">
        <w:rPr>
          <w:rFonts w:ascii="Titillium Web" w:hAnsi="Titillium Web"/>
          <w:color w:val="4A4A4A"/>
          <w:sz w:val="18"/>
          <w:szCs w:val="18"/>
        </w:rPr>
        <w:t>–</w:t>
      </w:r>
      <w:r w:rsidR="0009783D" w:rsidRPr="003E69E9">
        <w:rPr>
          <w:rFonts w:ascii="Titillium Web" w:hAnsi="Titillium Web" w:cs="Arial"/>
          <w:color w:val="4A4A4A"/>
          <w:sz w:val="18"/>
          <w:szCs w:val="18"/>
        </w:rPr>
        <w:t xml:space="preserve"> Direzione Centrale per la Finanza Locale, con il Comunicato del 22 maggio 2023, ha comunicato che le risorse assegnate a titolo di Addizionale comunale sui diritti d</w:t>
      </w:r>
      <w:r w:rsidR="0009783D" w:rsidRPr="003E69E9">
        <w:rPr>
          <w:rFonts w:ascii="Titillium Web" w:hAnsi="Titillium Web"/>
          <w:color w:val="4A4A4A"/>
          <w:sz w:val="18"/>
          <w:szCs w:val="18"/>
        </w:rPr>
        <w:t>’</w:t>
      </w:r>
      <w:r w:rsidR="0009783D" w:rsidRPr="003E69E9">
        <w:rPr>
          <w:rFonts w:ascii="Titillium Web" w:hAnsi="Titillium Web" w:cs="Arial"/>
          <w:color w:val="4A4A4A"/>
          <w:sz w:val="18"/>
          <w:szCs w:val="18"/>
        </w:rPr>
        <w:t>imbarco di passeggeri sugli aeromobili, prevista dalla Legge 24 dicembre 2003, n. 350, a favore dei Comuni nel cui territorio insista o risulti confinante un sedime aeroportuale, sono state erogate con Decreto dirigenziale del 17 maggio 2023.</w:t>
      </w:r>
    </w:p>
    <w:p w14:paraId="09BF9AAC" w14:textId="77777777" w:rsidR="00626241" w:rsidRDefault="00626241" w:rsidP="00626241">
      <w:pPr>
        <w:pStyle w:val="NormaleWeb"/>
        <w:shd w:val="clear" w:color="auto" w:fill="FFFFFF" w:themeFill="background1"/>
        <w:spacing w:before="0" w:beforeAutospacing="0"/>
        <w:rPr>
          <w:rFonts w:ascii="Titillium Web" w:hAnsi="Titillium Web" w:cs="Arial"/>
          <w:color w:val="4A4A4A"/>
          <w:sz w:val="20"/>
          <w:szCs w:val="20"/>
        </w:rPr>
      </w:pPr>
    </w:p>
    <w:p w14:paraId="1AF95A16" w14:textId="77777777" w:rsidR="00626241" w:rsidRDefault="00626241" w:rsidP="00626241">
      <w:pPr>
        <w:jc w:val="cente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E’uscito:</w:t>
      </w:r>
    </w:p>
    <w:p w14:paraId="6B01C1BA" w14:textId="77777777" w:rsidR="00626241" w:rsidRDefault="00626241" w:rsidP="00626241">
      <w:pPr>
        <w:pStyle w:val="Paragrafoelenco"/>
        <w:jc w:val="center"/>
        <w:rPr>
          <w:sz w:val="20"/>
          <w:szCs w:val="20"/>
        </w:rPr>
      </w:pPr>
      <w:r>
        <w:rPr>
          <w:b/>
          <w:noProof/>
          <w:color w:val="FFC000" w:themeColor="accent4"/>
          <w:sz w:val="52"/>
          <w:szCs w:val="52"/>
        </w:rPr>
        <w:drawing>
          <wp:inline distT="0" distB="0" distL="0" distR="0" wp14:anchorId="2DC175B9" wp14:editId="71CE055B">
            <wp:extent cx="2602800" cy="3600000"/>
            <wp:effectExtent l="0" t="0" r="7620" b="635"/>
            <wp:docPr id="1759779999" name="Immagine 175977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83642" name="Immagine 198298364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02800" cy="3600000"/>
                    </a:xfrm>
                    <a:prstGeom prst="rect">
                      <a:avLst/>
                    </a:prstGeom>
                  </pic:spPr>
                </pic:pic>
              </a:graphicData>
            </a:graphic>
          </wp:inline>
        </w:drawing>
      </w:r>
    </w:p>
    <w:p w14:paraId="3D71DE34" w14:textId="77777777" w:rsidR="00626241" w:rsidRDefault="00626241" w:rsidP="00626241">
      <w:pPr>
        <w:pStyle w:val="Paragrafoelenco"/>
        <w:jc w:val="center"/>
        <w:rPr>
          <w:sz w:val="20"/>
          <w:szCs w:val="20"/>
        </w:rPr>
      </w:pPr>
    </w:p>
    <w:p w14:paraId="54663E71" w14:textId="77777777" w:rsidR="00626241" w:rsidRDefault="00626241" w:rsidP="00626241">
      <w:pPr>
        <w:pStyle w:val="Paragrafoelenco"/>
        <w:jc w:val="center"/>
        <w:rPr>
          <w:b/>
          <w:bCs/>
          <w:i/>
          <w:iCs/>
          <w:sz w:val="20"/>
          <w:szCs w:val="20"/>
        </w:rPr>
      </w:pPr>
      <w:hyperlink r:id="rId10" w:history="1">
        <w:r w:rsidRPr="000564B5">
          <w:rPr>
            <w:rStyle w:val="Collegamentoipertestuale"/>
            <w:i/>
            <w:iCs/>
            <w:sz w:val="20"/>
            <w:szCs w:val="20"/>
          </w:rPr>
          <w:t>info@ibneditore.it</w:t>
        </w:r>
      </w:hyperlink>
    </w:p>
    <w:p w14:paraId="71764ED0" w14:textId="77777777" w:rsidR="00626241" w:rsidRDefault="00626241" w:rsidP="00626241">
      <w:pPr>
        <w:pStyle w:val="Nessunaspaziatura"/>
        <w:rPr>
          <w:noProof/>
          <w:sz w:val="18"/>
          <w:szCs w:val="18"/>
        </w:rPr>
      </w:pPr>
      <w:r w:rsidRPr="003A2580">
        <w:rPr>
          <w:noProof/>
          <w:sz w:val="18"/>
          <w:szCs w:val="18"/>
        </w:rPr>
        <w:t xml:space="preserve">In questo libro il lettore troverà le tante, tantissime compagnie aeree italiane che </w:t>
      </w:r>
      <w:r w:rsidRPr="003A2580">
        <w:rPr>
          <w:i/>
          <w:iCs/>
          <w:noProof/>
          <w:sz w:val="18"/>
          <w:szCs w:val="18"/>
        </w:rPr>
        <w:t>ci hanno provato</w:t>
      </w:r>
      <w:r w:rsidRPr="003A2580">
        <w:rPr>
          <w:noProof/>
          <w:sz w:val="18"/>
          <w:szCs w:val="18"/>
        </w:rPr>
        <w:t>. Ma non si tratta di una elencazione alfabetica, stile enciclopedia in quanto abbiamo ritenuto fosse molto più interessante inquadrare la nascita (e la scomparsa) dei singoli vettori nel contesto  storico che in quel momento caratterizzava l’aviazione commerciale la quale, come tutti sanno, ha vissuto molteplici cambiamenti: deregulation, la fine del cartello tariffario,  la nascita del terzo livello, l’apparizione delle compagnie low cost, gli accordi code sharing...  Il lettore inizierà il suo viaggio dall’aviazione commerciale degli anni del secondo dopoguerra  per giungere fino ad oggi quando il nostro maggior vettore, quello una volta denominato di bandiera, è finito  risucchiato nella galassia Lufthansa. Un libro che vi farà capire perché l’aviazione commerciale in Italia è scesa a livelli non certo degni di un Paese che fa parte del G7, un Paese che per i vettori aerei è ad alto rischio di mortalità.</w:t>
      </w:r>
    </w:p>
    <w:p w14:paraId="62BA72A1" w14:textId="77777777" w:rsidR="00626241" w:rsidRPr="003A2580" w:rsidRDefault="00626241" w:rsidP="00626241">
      <w:pPr>
        <w:pStyle w:val="Nessunaspaziatura"/>
        <w:rPr>
          <w:noProof/>
          <w:sz w:val="18"/>
          <w:szCs w:val="18"/>
        </w:rPr>
      </w:pPr>
      <w:r>
        <w:rPr>
          <w:noProof/>
          <w:sz w:val="18"/>
          <w:szCs w:val="18"/>
        </w:rPr>
        <w:t>“Immergetevi nella lettura delle oltre cento compagnie nate nel nostro Paese, ma non meravigliatevi scoprendo quante nel 2023 rimangono ancora attive.”</w:t>
      </w:r>
    </w:p>
    <w:p w14:paraId="25CC6813" w14:textId="77777777" w:rsidR="00626241" w:rsidRPr="00E24AD9" w:rsidRDefault="00626241" w:rsidP="00626241">
      <w:pPr>
        <w:pStyle w:val="Paragrafoelenco"/>
        <w:jc w:val="center"/>
        <w:rPr>
          <w:b/>
          <w:bCs/>
          <w:i/>
          <w:iCs/>
          <w:sz w:val="20"/>
          <w:szCs w:val="20"/>
        </w:rPr>
      </w:pPr>
    </w:p>
    <w:p w14:paraId="2FF311A9" w14:textId="77777777" w:rsidR="00626241" w:rsidRPr="0009783D" w:rsidRDefault="00626241" w:rsidP="00626241">
      <w:pPr>
        <w:pStyle w:val="NormaleWeb"/>
        <w:shd w:val="clear" w:color="auto" w:fill="FFFFFF" w:themeFill="background1"/>
        <w:spacing w:before="0" w:beforeAutospacing="0"/>
        <w:rPr>
          <w:rFonts w:ascii="Titillium Web" w:hAnsi="Titillium Web"/>
          <w:color w:val="212121"/>
          <w:sz w:val="20"/>
          <w:szCs w:val="20"/>
        </w:rPr>
      </w:pPr>
    </w:p>
    <w:p w14:paraId="7ECA7505" w14:textId="77777777" w:rsidR="00B037EB" w:rsidRPr="00251054" w:rsidRDefault="00B037EB" w:rsidP="00251054">
      <w:pPr>
        <w:pStyle w:val="NormaleWeb"/>
        <w:shd w:val="clear" w:color="auto" w:fill="FFFFFF" w:themeFill="background1"/>
        <w:spacing w:before="0" w:beforeAutospacing="0"/>
        <w:ind w:left="720"/>
        <w:rPr>
          <w:rFonts w:ascii="Titillium Web" w:hAnsi="Titillium Web"/>
          <w:color w:val="212121"/>
          <w:sz w:val="20"/>
          <w:szCs w:val="20"/>
        </w:rPr>
      </w:pPr>
    </w:p>
    <w:p w14:paraId="5B2CAD93" w14:textId="77777777" w:rsidR="00B037EB" w:rsidRPr="00082737" w:rsidRDefault="00B037EB" w:rsidP="00082737">
      <w:pPr>
        <w:shd w:val="clear" w:color="auto" w:fill="FFFFFF" w:themeFill="background1"/>
        <w:spacing w:line="336" w:lineRule="atLeast"/>
        <w:rPr>
          <w:rFonts w:ascii="Titillium Web" w:eastAsia="Times New Roman" w:hAnsi="Titillium Web" w:cs="Times New Roman"/>
          <w:i/>
          <w:iCs/>
          <w:color w:val="212121"/>
          <w:kern w:val="0"/>
          <w:sz w:val="20"/>
          <w:szCs w:val="20"/>
          <w:lang w:eastAsia="it-IT"/>
          <w14:ligatures w14:val="none"/>
        </w:rPr>
      </w:pPr>
    </w:p>
    <w:p w14:paraId="376E090F" w14:textId="77777777" w:rsidR="001347FD" w:rsidRDefault="001347FD"/>
    <w:sectPr w:rsidR="001347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tillium Web">
    <w:altName w:val="Calibri"/>
    <w:charset w:val="00"/>
    <w:family w:val="auto"/>
    <w:pitch w:val="variable"/>
    <w:sig w:usb0="00000007" w:usb1="00000001" w:usb2="00000000" w:usb3="00000000" w:csb0="00000093"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1661C"/>
    <w:multiLevelType w:val="hybridMultilevel"/>
    <w:tmpl w:val="4B14D712"/>
    <w:lvl w:ilvl="0" w:tplc="5B1A7AF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83665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F56"/>
    <w:rsid w:val="00082737"/>
    <w:rsid w:val="00091757"/>
    <w:rsid w:val="0009783D"/>
    <w:rsid w:val="000B1833"/>
    <w:rsid w:val="001347FD"/>
    <w:rsid w:val="0016275E"/>
    <w:rsid w:val="00164EB4"/>
    <w:rsid w:val="00194CF9"/>
    <w:rsid w:val="001C58C0"/>
    <w:rsid w:val="001D60DC"/>
    <w:rsid w:val="001E3561"/>
    <w:rsid w:val="002341C1"/>
    <w:rsid w:val="002378B7"/>
    <w:rsid w:val="00251054"/>
    <w:rsid w:val="002543EA"/>
    <w:rsid w:val="00297141"/>
    <w:rsid w:val="002E411C"/>
    <w:rsid w:val="002F4520"/>
    <w:rsid w:val="00345248"/>
    <w:rsid w:val="003836E3"/>
    <w:rsid w:val="003B7EA9"/>
    <w:rsid w:val="003C51C5"/>
    <w:rsid w:val="003C641A"/>
    <w:rsid w:val="003D2768"/>
    <w:rsid w:val="003D6DD4"/>
    <w:rsid w:val="003E69E9"/>
    <w:rsid w:val="00456597"/>
    <w:rsid w:val="004830DA"/>
    <w:rsid w:val="00487080"/>
    <w:rsid w:val="00496FF6"/>
    <w:rsid w:val="004C3C72"/>
    <w:rsid w:val="004D2A23"/>
    <w:rsid w:val="00541699"/>
    <w:rsid w:val="005D320A"/>
    <w:rsid w:val="005F677A"/>
    <w:rsid w:val="00626241"/>
    <w:rsid w:val="00671BAD"/>
    <w:rsid w:val="0071121F"/>
    <w:rsid w:val="00765CAA"/>
    <w:rsid w:val="0079077B"/>
    <w:rsid w:val="007C69E3"/>
    <w:rsid w:val="007D03E7"/>
    <w:rsid w:val="00812B34"/>
    <w:rsid w:val="00821281"/>
    <w:rsid w:val="0088702B"/>
    <w:rsid w:val="008E7F56"/>
    <w:rsid w:val="009A034D"/>
    <w:rsid w:val="00A87539"/>
    <w:rsid w:val="00A958DE"/>
    <w:rsid w:val="00B037EB"/>
    <w:rsid w:val="00B3039C"/>
    <w:rsid w:val="00BB5C5C"/>
    <w:rsid w:val="00BC2B8B"/>
    <w:rsid w:val="00BD5686"/>
    <w:rsid w:val="00BF5543"/>
    <w:rsid w:val="00C31826"/>
    <w:rsid w:val="00CC38EF"/>
    <w:rsid w:val="00E25BDC"/>
    <w:rsid w:val="00F147B4"/>
    <w:rsid w:val="00F26857"/>
    <w:rsid w:val="00F6669A"/>
    <w:rsid w:val="00F71235"/>
    <w:rsid w:val="00F7245F"/>
    <w:rsid w:val="00FA39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4FCB"/>
  <w15:chartTrackingRefBased/>
  <w15:docId w15:val="{84043D9C-E0A5-40CC-B531-FD59FC1E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E7F56"/>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8E7F56"/>
    <w:rPr>
      <w:b/>
      <w:bCs/>
    </w:rPr>
  </w:style>
  <w:style w:type="paragraph" w:customStyle="1" w:styleId="provvr0">
    <w:name w:val="provv_r0"/>
    <w:basedOn w:val="Normale"/>
    <w:rsid w:val="008E7F56"/>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linkneltesto">
    <w:name w:val="link_nel_testo"/>
    <w:basedOn w:val="Carpredefinitoparagrafo"/>
    <w:rsid w:val="008E7F56"/>
  </w:style>
  <w:style w:type="paragraph" w:styleId="Paragrafoelenco">
    <w:name w:val="List Paragraph"/>
    <w:basedOn w:val="Normale"/>
    <w:uiPriority w:val="34"/>
    <w:qFormat/>
    <w:rsid w:val="00F6669A"/>
    <w:pPr>
      <w:ind w:left="720"/>
      <w:contextualSpacing/>
    </w:pPr>
  </w:style>
  <w:style w:type="character" w:styleId="Collegamentoipertestuale">
    <w:name w:val="Hyperlink"/>
    <w:basedOn w:val="Carpredefinitoparagrafo"/>
    <w:uiPriority w:val="99"/>
    <w:unhideWhenUsed/>
    <w:rsid w:val="00626241"/>
    <w:rPr>
      <w:color w:val="0000FF"/>
      <w:u w:val="single"/>
    </w:rPr>
  </w:style>
  <w:style w:type="paragraph" w:styleId="Nessunaspaziatura">
    <w:name w:val="No Spacing"/>
    <w:uiPriority w:val="1"/>
    <w:qFormat/>
    <w:rsid w:val="0062624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052362">
      <w:bodyDiv w:val="1"/>
      <w:marLeft w:val="0"/>
      <w:marRight w:val="0"/>
      <w:marTop w:val="0"/>
      <w:marBottom w:val="0"/>
      <w:divBdr>
        <w:top w:val="none" w:sz="0" w:space="0" w:color="auto"/>
        <w:left w:val="none" w:sz="0" w:space="0" w:color="auto"/>
        <w:bottom w:val="none" w:sz="0" w:space="0" w:color="auto"/>
        <w:right w:val="none" w:sz="0" w:space="0" w:color="auto"/>
      </w:divBdr>
    </w:div>
    <w:div w:id="1298486395">
      <w:bodyDiv w:val="1"/>
      <w:marLeft w:val="0"/>
      <w:marRight w:val="0"/>
      <w:marTop w:val="0"/>
      <w:marBottom w:val="0"/>
      <w:divBdr>
        <w:top w:val="none" w:sz="0" w:space="0" w:color="auto"/>
        <w:left w:val="none" w:sz="0" w:space="0" w:color="auto"/>
        <w:bottom w:val="none" w:sz="0" w:space="0" w:color="auto"/>
        <w:right w:val="none" w:sz="0" w:space="0" w:color="auto"/>
      </w:divBdr>
    </w:div>
    <w:div w:id="1405839633">
      <w:bodyDiv w:val="1"/>
      <w:marLeft w:val="0"/>
      <w:marRight w:val="0"/>
      <w:marTop w:val="0"/>
      <w:marBottom w:val="0"/>
      <w:divBdr>
        <w:top w:val="none" w:sz="0" w:space="0" w:color="auto"/>
        <w:left w:val="none" w:sz="0" w:space="0" w:color="auto"/>
        <w:bottom w:val="none" w:sz="0" w:space="0" w:color="auto"/>
        <w:right w:val="none" w:sz="0" w:space="0" w:color="auto"/>
      </w:divBdr>
      <w:divsChild>
        <w:div w:id="1322198281">
          <w:marLeft w:val="600"/>
          <w:marRight w:val="600"/>
          <w:marTop w:val="300"/>
          <w:marBottom w:val="300"/>
          <w:divBdr>
            <w:top w:val="none" w:sz="0" w:space="0" w:color="auto"/>
            <w:left w:val="none" w:sz="0" w:space="0" w:color="auto"/>
            <w:bottom w:val="none" w:sz="0" w:space="0" w:color="auto"/>
            <w:right w:val="none" w:sz="0" w:space="0" w:color="auto"/>
          </w:divBdr>
        </w:div>
        <w:div w:id="1833059215">
          <w:marLeft w:val="600"/>
          <w:marRight w:val="60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ibneditore.it"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11B3F-AAF7-48B7-B219-46E26E336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1479</Words>
  <Characters>8431</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61</cp:revision>
  <dcterms:created xsi:type="dcterms:W3CDTF">2023-08-23T09:19:00Z</dcterms:created>
  <dcterms:modified xsi:type="dcterms:W3CDTF">2023-08-23T17:26:00Z</dcterms:modified>
</cp:coreProperties>
</file>