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3612" w14:textId="422BC17F" w:rsidR="0068584B" w:rsidRDefault="0068584B" w:rsidP="0068584B">
      <w:pPr>
        <w:rPr>
          <w:b/>
          <w:bCs/>
          <w:color w:val="4472C4" w:themeColor="accent1"/>
          <w:sz w:val="28"/>
          <w:szCs w:val="28"/>
        </w:rPr>
      </w:pPr>
      <w:r>
        <w:rPr>
          <w:b/>
          <w:bCs/>
          <w:noProof/>
          <w:color w:val="4472C4" w:themeColor="accent1"/>
          <w:sz w:val="28"/>
          <w:szCs w:val="28"/>
        </w:rPr>
        <w:drawing>
          <wp:inline distT="0" distB="0" distL="0" distR="0" wp14:anchorId="23AB03FF" wp14:editId="5CBE8411">
            <wp:extent cx="1778400" cy="338400"/>
            <wp:effectExtent l="0" t="0" r="0" b="5080"/>
            <wp:docPr id="5540523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52386" name="Immagine 554052386"/>
                    <pic:cNvPicPr/>
                  </pic:nvPicPr>
                  <pic:blipFill>
                    <a:blip r:embed="rId5">
                      <a:extLst>
                        <a:ext uri="{28A0092B-C50C-407E-A947-70E740481C1C}">
                          <a14:useLocalDpi xmlns:a14="http://schemas.microsoft.com/office/drawing/2010/main" val="0"/>
                        </a:ext>
                      </a:extLst>
                    </a:blip>
                    <a:stretch>
                      <a:fillRect/>
                    </a:stretch>
                  </pic:blipFill>
                  <pic:spPr>
                    <a:xfrm>
                      <a:off x="0" y="0"/>
                      <a:ext cx="1778400" cy="338400"/>
                    </a:xfrm>
                    <a:prstGeom prst="rect">
                      <a:avLst/>
                    </a:prstGeom>
                  </pic:spPr>
                </pic:pic>
              </a:graphicData>
            </a:graphic>
          </wp:inline>
        </w:drawing>
      </w:r>
    </w:p>
    <w:p w14:paraId="5FD6881C" w14:textId="3CC1E3B4" w:rsidR="005A1DF9" w:rsidRPr="004C4DF2" w:rsidRDefault="004C4DF2" w:rsidP="004C4DF2">
      <w:pPr>
        <w:ind w:left="1416" w:firstLine="708"/>
        <w:rPr>
          <w:b/>
          <w:bCs/>
          <w:color w:val="4472C4" w:themeColor="accent1"/>
          <w:sz w:val="28"/>
          <w:szCs w:val="28"/>
        </w:rPr>
      </w:pPr>
      <w:r>
        <w:rPr>
          <w:b/>
          <w:bCs/>
          <w:color w:val="4472C4" w:themeColor="accent1"/>
          <w:sz w:val="28"/>
          <w:szCs w:val="28"/>
        </w:rPr>
        <w:t xml:space="preserve">        </w:t>
      </w:r>
      <w:r w:rsidR="00E178D4" w:rsidRPr="004C4DF2">
        <w:rPr>
          <w:b/>
          <w:bCs/>
          <w:color w:val="4472C4" w:themeColor="accent1"/>
          <w:sz w:val="28"/>
          <w:szCs w:val="28"/>
        </w:rPr>
        <w:t>L</w:t>
      </w:r>
      <w:r w:rsidR="00841C68" w:rsidRPr="004C4DF2">
        <w:rPr>
          <w:b/>
          <w:bCs/>
          <w:color w:val="4472C4" w:themeColor="accent1"/>
          <w:sz w:val="28"/>
          <w:szCs w:val="28"/>
        </w:rPr>
        <w:t>’AVIAZIONE CIVILE NEL 2025</w:t>
      </w:r>
    </w:p>
    <w:p w14:paraId="31351FB0" w14:textId="77777777" w:rsidR="0068584B" w:rsidRDefault="0068584B" w:rsidP="00BF18BA">
      <w:pPr>
        <w:spacing w:after="0"/>
      </w:pPr>
    </w:p>
    <w:p w14:paraId="7ED67E79" w14:textId="14AC4DE6" w:rsidR="00E178D4" w:rsidRDefault="004E3756" w:rsidP="00BF18BA">
      <w:pPr>
        <w:spacing w:after="0"/>
      </w:pPr>
      <w:r>
        <w:t xml:space="preserve">Prima dell’avvento della deregulation, partita negli Usa nel </w:t>
      </w:r>
      <w:proofErr w:type="gramStart"/>
      <w:r>
        <w:t xml:space="preserve">1978, </w:t>
      </w:r>
      <w:r w:rsidR="00E178D4">
        <w:t xml:space="preserve"> gli</w:t>
      </w:r>
      <w:proofErr w:type="gramEnd"/>
      <w:r w:rsidR="00E178D4">
        <w:t xml:space="preserve"> orari in distribuzione presso tutte le agenzie delle compagnie aeree e delle agenzie di viaggi contenevano in prima battuta gli orari dei voli e poi venivano piubblicate anche le tariffe aeree, le quali erano mostrate in classe  Prima (F) e in Turistica (T). Il particolare da sottolineare è che la tariffa pubblicata sull’orario Alitalia, ad esempio sulla Roma-Londra, era esattamente la stessa che pubblicava la compagnia britannica di allora, la BEA. Stessa considerazione valeva per qualsiasi altra tratta</w:t>
      </w:r>
      <w:r w:rsidR="00841C68">
        <w:t xml:space="preserve"> e compagnia</w:t>
      </w:r>
      <w:r w:rsidR="00E178D4">
        <w:t xml:space="preserve"> </w:t>
      </w:r>
      <w:r w:rsidR="00FC6B3D">
        <w:t xml:space="preserve">che </w:t>
      </w:r>
      <w:r w:rsidR="00E178D4">
        <w:t>fosse</w:t>
      </w:r>
      <w:r w:rsidR="00FC6B3D">
        <w:t xml:space="preserve"> </w:t>
      </w:r>
      <w:proofErr w:type="gramStart"/>
      <w:r w:rsidR="00FC6B3D">
        <w:t xml:space="preserve">stata </w:t>
      </w:r>
      <w:r w:rsidR="00E178D4">
        <w:t xml:space="preserve"> presa</w:t>
      </w:r>
      <w:proofErr w:type="gramEnd"/>
      <w:r w:rsidR="00E178D4">
        <w:t xml:space="preserve"> in considerazione.</w:t>
      </w:r>
    </w:p>
    <w:p w14:paraId="33BE9BBC" w14:textId="47F86EB4" w:rsidR="004E3756" w:rsidRDefault="004E3756">
      <w:r>
        <w:t xml:space="preserve">Fu proprio per liberare il passeggero da queste tariffe fisse stabilite dalla IATA che, prima negli Usa e poi in Europa venne varata la deregulation il cui primo obiettivo era quello di liberalizzare il mercato; in pratica ogni compagnia aerea era libera di applicare la tariffa che più riteneva idonea ad assicurare redditività alla rotta coinvolta. Ma </w:t>
      </w:r>
      <w:r w:rsidR="00841C68">
        <w:t xml:space="preserve">contemporaneamente </w:t>
      </w:r>
      <w:r>
        <w:t>venne mess</w:t>
      </w:r>
      <w:r w:rsidR="00CF4896">
        <w:t>o</w:t>
      </w:r>
      <w:r>
        <w:t xml:space="preserve"> in giro</w:t>
      </w:r>
      <w:r w:rsidR="00BF18BA">
        <w:t xml:space="preserve"> un altro obiettivo </w:t>
      </w:r>
      <w:r w:rsidR="00CF4896">
        <w:t>cui puntava l</w:t>
      </w:r>
      <w:r>
        <w:t>a rivoluzione dei cieli</w:t>
      </w:r>
      <w:r w:rsidR="00BF18BA">
        <w:t>, quello di svolgere</w:t>
      </w:r>
      <w:r>
        <w:t xml:space="preserve"> una opera di selezione della specie: ovvero solo le compagnie più virtuose e meglio </w:t>
      </w:r>
      <w:proofErr w:type="gramStart"/>
      <w:r>
        <w:t>condotte  sarebbero</w:t>
      </w:r>
      <w:proofErr w:type="gramEnd"/>
      <w:r>
        <w:t xml:space="preserve"> sopravvissute, tutte le altre erano destinate a scomparire.</w:t>
      </w:r>
      <w:r w:rsidR="00841C68">
        <w:t xml:space="preserve"> Gli intenti erano lodevoli e fu proprio a seguito di ciò che sul mercato apparve</w:t>
      </w:r>
      <w:r w:rsidR="00BF18BA">
        <w:t xml:space="preserve"> una miriade di</w:t>
      </w:r>
      <w:r w:rsidR="00841C68">
        <w:t xml:space="preserve"> nuove compagnie aeree, molte di loro con la caratteristica delle low cost.</w:t>
      </w:r>
    </w:p>
    <w:p w14:paraId="5CCFACBE" w14:textId="0FF11C53" w:rsidR="00891AB9" w:rsidRDefault="00891AB9">
      <w:r>
        <w:t xml:space="preserve">Diciamo che le cose sono andate un po' differentemente dai progetti iniziali in quanto non pochi </w:t>
      </w:r>
      <w:proofErr w:type="gramStart"/>
      <w:r>
        <w:t>governi  (</w:t>
      </w:r>
      <w:proofErr w:type="gramEnd"/>
      <w:r>
        <w:t>e noi italiani ne sappiamo qualcosa) hanno continu</w:t>
      </w:r>
      <w:r w:rsidR="00841C68">
        <w:t>a</w:t>
      </w:r>
      <w:r>
        <w:t>to</w:t>
      </w:r>
      <w:r w:rsidR="00841C68">
        <w:t>,</w:t>
      </w:r>
      <w:r>
        <w:t xml:space="preserve"> vuoi per un motivo o per un altro</w:t>
      </w:r>
      <w:r w:rsidR="00841C68">
        <w:t>,</w:t>
      </w:r>
      <w:r>
        <w:t xml:space="preserve"> a elargire fondi alla propria compagnia di bandiera</w:t>
      </w:r>
      <w:r w:rsidR="00BF18BA">
        <w:t xml:space="preserve"> sia che essa fosse virtuosa o meno.</w:t>
      </w:r>
    </w:p>
    <w:p w14:paraId="0CAF1E04" w14:textId="0494228A" w:rsidR="00841C68" w:rsidRDefault="00CF4896">
      <w:r>
        <w:t>Oggi a</w:t>
      </w:r>
      <w:r w:rsidR="00841C68">
        <w:t xml:space="preserve"> </w:t>
      </w:r>
      <w:r w:rsidR="004C4DF2">
        <w:t>quasi mezzo</w:t>
      </w:r>
      <w:r w:rsidR="00841C68">
        <w:t xml:space="preserve"> secolo da questi cambiamenti epocali quali commenti possiamo fare sullo stato attuale dell’aviazione commerciale?   </w:t>
      </w:r>
      <w:r w:rsidR="009D3A69">
        <w:t>Qu</w:t>
      </w:r>
      <w:r>
        <w:t>a</w:t>
      </w:r>
      <w:r w:rsidR="009D3A69">
        <w:t>li le previsioni per l’anno che inizierà a breve?</w:t>
      </w:r>
    </w:p>
    <w:p w14:paraId="183F625E" w14:textId="77777777" w:rsidR="004C4DF2" w:rsidRPr="004C4DF2" w:rsidRDefault="004C4DF2" w:rsidP="004C4DF2">
      <w:pPr>
        <w:rPr>
          <w:i/>
          <w:iCs/>
        </w:rPr>
      </w:pPr>
      <w:r w:rsidRPr="004C4DF2">
        <w:rPr>
          <w:i/>
          <w:iCs/>
        </w:rPr>
        <w:t>“In un mondo di molte e crescenti incertezze, le compagnie aeree continuano a rafforzare la loro redditività. L'utile netto aggregato di 30,5 miliardi di dollari previsto per il 2024 è un grande risultato se si considerano le recenti gravi perdite dovute alla pandemia. Con un record di cinque miliardi di viaggiatori aerei previsti per il 2024, il bisogno umano di volare non è mai stato così forte. Inoltre, l'economia globale conta sul cargo aereo per consegnare gli 8.300 miliardi di dollari di scambi commerciali che arrivano ai clienti per via aerea. Senza dubbio, l'aviazione è vitale per le ambizioni e la prosperità di individui ed economie. È importante rafforzare la redditività delle compagnie aeree e aumentare la resilienza finanziaria. La redditività consente di investire nei prodotti per soddisfare le esigenze dei nostri clienti e nelle soluzioni di sostenibilità di cui avremo bisogno per raggiungere le emissioni nette di carbonio zero entro il 2050”.</w:t>
      </w:r>
    </w:p>
    <w:p w14:paraId="185D7BAE" w14:textId="2C266DA4" w:rsidR="002B518A" w:rsidRPr="00C718F3" w:rsidRDefault="004C4DF2" w:rsidP="002B518A">
      <w:pPr>
        <w:rPr>
          <w:color w:val="ED0000"/>
          <w:sz w:val="16"/>
          <w:szCs w:val="16"/>
        </w:rPr>
      </w:pPr>
      <w:r>
        <w:t xml:space="preserve">E’ parte del discorso </w:t>
      </w:r>
      <w:proofErr w:type="gramStart"/>
      <w:r>
        <w:t>pronunciato  all</w:t>
      </w:r>
      <w:proofErr w:type="gramEnd"/>
      <w:r>
        <w:t>’80simo AGM della Iata dal presidente Willie Walsh.</w:t>
      </w:r>
      <w:r w:rsidR="002D13FA">
        <w:t xml:space="preserve"> </w:t>
      </w:r>
      <w:r w:rsidR="002D13FA" w:rsidRPr="002D13FA">
        <w:rPr>
          <w:color w:val="ED0000"/>
          <w:sz w:val="16"/>
          <w:szCs w:val="16"/>
        </w:rPr>
        <w:t>(1)</w:t>
      </w:r>
      <w:r w:rsidR="002B518A">
        <w:t xml:space="preserve"> E che </w:t>
      </w:r>
      <w:r w:rsidR="00BF18BA">
        <w:t>l’aviazione civile goda una buona salute</w:t>
      </w:r>
      <w:r w:rsidR="002B518A">
        <w:t xml:space="preserve"> lo dimostra anche il </w:t>
      </w:r>
      <w:r w:rsidR="001E57B6">
        <w:t xml:space="preserve">fatto che i </w:t>
      </w:r>
      <w:r w:rsidR="001F24DA">
        <w:t>risultati</w:t>
      </w:r>
      <w:r w:rsidR="001E57B6">
        <w:t xml:space="preserve"> positivi sono stati ottenuti malgrado</w:t>
      </w:r>
      <w:r w:rsidR="009A0DDA">
        <w:t xml:space="preserve"> i ritardi nelle consegne di nuovi velivoli:</w:t>
      </w:r>
      <w:r w:rsidR="002B518A">
        <w:t xml:space="preserve"> </w:t>
      </w:r>
      <w:r w:rsidR="009A0DDA">
        <w:t>s</w:t>
      </w:r>
      <w:r w:rsidR="002B518A">
        <w:t xml:space="preserve">i prevede che nel 2024 sarà disponibile un </w:t>
      </w:r>
      <w:r w:rsidR="00CF4896">
        <w:t>totale</w:t>
      </w:r>
      <w:r w:rsidR="002B518A">
        <w:t xml:space="preserve"> di 38,7 milioni di voli. Si tratta di 1,4 milioni di voli in meno rispetto alle stime precedenti (dicembre 2023), in gran parte attribuibili al rallentamento delle consegne a causa dei persistenti problemi della catena di approvvigionamento nel settore aerospaziale. Ad esempio, il numero di consegne di aeromobili previste per il 2024 dovrebbe essere di 1.583, ovvero l'11% in meno rispetto alle aspettative, che prevedevano l'ingresso </w:t>
      </w:r>
      <w:proofErr w:type="gramStart"/>
      <w:r w:rsidR="002B518A">
        <w:t xml:space="preserve">di </w:t>
      </w:r>
      <w:r w:rsidR="0021559E">
        <w:t xml:space="preserve"> </w:t>
      </w:r>
      <w:r w:rsidR="002B518A">
        <w:t>1.</w:t>
      </w:r>
      <w:r w:rsidR="001F24DA">
        <w:t>777</w:t>
      </w:r>
      <w:proofErr w:type="gramEnd"/>
      <w:r w:rsidR="002B518A">
        <w:t xml:space="preserve"> aeromobili nella flotta mondiale nel 2024. </w:t>
      </w:r>
      <w:r w:rsidR="00CF4896" w:rsidRPr="00CF4896">
        <w:rPr>
          <w:i/>
          <w:iCs/>
          <w:sz w:val="20"/>
          <w:szCs w:val="20"/>
        </w:rPr>
        <w:t>(vedi tabella che segue)</w:t>
      </w:r>
      <w:r w:rsidR="00CF4896">
        <w:t xml:space="preserve"> </w:t>
      </w:r>
      <w:r w:rsidR="00954C2B">
        <w:t>Per mitigare questi problemi l</w:t>
      </w:r>
      <w:r w:rsidR="002B518A">
        <w:t xml:space="preserve">e compagnie aeree </w:t>
      </w:r>
      <w:r w:rsidR="00954C2B">
        <w:t xml:space="preserve">hanno provveduto ad </w:t>
      </w:r>
      <w:r w:rsidR="002B518A">
        <w:t>impiega</w:t>
      </w:r>
      <w:r w:rsidR="00954C2B">
        <w:t xml:space="preserve">re </w:t>
      </w:r>
      <w:r w:rsidR="002B518A">
        <w:t xml:space="preserve">aerei </w:t>
      </w:r>
      <w:r w:rsidR="00954C2B">
        <w:t>con maggiore capacità</w:t>
      </w:r>
      <w:r w:rsidR="002B518A">
        <w:t>.</w:t>
      </w:r>
      <w:r w:rsidR="001F24DA">
        <w:t xml:space="preserve"> Questi gap nelle consegne dovrebbero trovare pieno recupero nell’anno che sta iniziando</w:t>
      </w:r>
      <w:r w:rsidR="0068584B">
        <w:t xml:space="preserve"> per il quale le previsioni sono ottime.</w:t>
      </w:r>
      <w:r w:rsidR="00C718F3">
        <w:t xml:space="preserve"> </w:t>
      </w:r>
      <w:r w:rsidR="00C718F3" w:rsidRPr="00C718F3">
        <w:rPr>
          <w:color w:val="ED0000"/>
          <w:sz w:val="16"/>
          <w:szCs w:val="16"/>
        </w:rPr>
        <w:t>(2)</w:t>
      </w:r>
    </w:p>
    <w:p w14:paraId="2D8E0056" w14:textId="5F408872" w:rsidR="001F24DA" w:rsidRDefault="001F24DA" w:rsidP="001F24DA">
      <w:pPr>
        <w:jc w:val="center"/>
      </w:pPr>
      <w:r w:rsidRPr="001F24DA">
        <w:rPr>
          <w:noProof/>
          <w:bdr w:val="single" w:sz="12" w:space="0" w:color="auto"/>
        </w:rPr>
        <w:lastRenderedPageBreak/>
        <w:drawing>
          <wp:inline distT="0" distB="0" distL="0" distR="0" wp14:anchorId="49BF7440" wp14:editId="69589CF9">
            <wp:extent cx="5821200" cy="2059200"/>
            <wp:effectExtent l="0" t="0" r="0" b="0"/>
            <wp:docPr id="12441440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44073" name="Immagine 1244144073"/>
                    <pic:cNvPicPr/>
                  </pic:nvPicPr>
                  <pic:blipFill>
                    <a:blip r:embed="rId6">
                      <a:extLst>
                        <a:ext uri="{28A0092B-C50C-407E-A947-70E740481C1C}">
                          <a14:useLocalDpi xmlns:a14="http://schemas.microsoft.com/office/drawing/2010/main" val="0"/>
                        </a:ext>
                      </a:extLst>
                    </a:blip>
                    <a:stretch>
                      <a:fillRect/>
                    </a:stretch>
                  </pic:blipFill>
                  <pic:spPr>
                    <a:xfrm>
                      <a:off x="0" y="0"/>
                      <a:ext cx="5821200" cy="2059200"/>
                    </a:xfrm>
                    <a:prstGeom prst="rect">
                      <a:avLst/>
                    </a:prstGeom>
                  </pic:spPr>
                </pic:pic>
              </a:graphicData>
            </a:graphic>
          </wp:inline>
        </w:drawing>
      </w:r>
    </w:p>
    <w:p w14:paraId="555E7264" w14:textId="77777777" w:rsidR="002B518A" w:rsidRDefault="002B518A" w:rsidP="002B518A"/>
    <w:p w14:paraId="4C06B2D5" w14:textId="076CDD06" w:rsidR="006E04BB" w:rsidRDefault="006E04BB" w:rsidP="006E04BB">
      <w:r>
        <w:t>Andando nel dettaglio l</w:t>
      </w:r>
      <w:r w:rsidR="00C718F3">
        <w:t xml:space="preserve">’outlook </w:t>
      </w:r>
      <w:proofErr w:type="gramStart"/>
      <w:r w:rsidR="00C718F3">
        <w:t>del</w:t>
      </w:r>
      <w:r>
        <w:t xml:space="preserve">  2025</w:t>
      </w:r>
      <w:proofErr w:type="gramEnd"/>
      <w:r>
        <w:t xml:space="preserve">  preved</w:t>
      </w:r>
      <w:r w:rsidR="00C718F3">
        <w:t>e quanto segue</w:t>
      </w:r>
      <w:r>
        <w:t>:</w:t>
      </w:r>
      <w:r w:rsidR="00C718F3">
        <w:t xml:space="preserve"> </w:t>
      </w:r>
      <w:r w:rsidR="00C718F3" w:rsidRPr="00C718F3">
        <w:rPr>
          <w:color w:val="ED0000"/>
          <w:sz w:val="16"/>
          <w:szCs w:val="16"/>
        </w:rPr>
        <w:t>(3)</w:t>
      </w:r>
    </w:p>
    <w:p w14:paraId="25461589" w14:textId="38077AC2" w:rsidR="006E04BB" w:rsidRDefault="006E04BB" w:rsidP="006E04BB">
      <w:r>
        <w:t xml:space="preserve">- un </w:t>
      </w:r>
      <w:r w:rsidRPr="00CF4896">
        <w:rPr>
          <w:b/>
          <w:bCs/>
        </w:rPr>
        <w:t>utile netto</w:t>
      </w:r>
      <w:r>
        <w:t xml:space="preserve"> di 36,6 miliardi di dollari, con un margine di profitto netto del 3,6%. Si tratta di un leggero miglioramento rispetto ai 31,5 miliardi di dollari previsti per il 2024 (margine di profitto netto del 3,3%). Il profitto netto medio per passeggero dovrebbe essere di 7,0 dollari (inferiore ai 7,9 dollari del 2023, ma in miglioramento rispetto ai 6,4 dollari del 2024).</w:t>
      </w:r>
    </w:p>
    <w:p w14:paraId="0CB4DCFF" w14:textId="11FD351A" w:rsidR="006E04BB" w:rsidRDefault="006E04BB" w:rsidP="006E04BB">
      <w:r>
        <w:t>-</w:t>
      </w:r>
      <w:r w:rsidRPr="00CF4896">
        <w:rPr>
          <w:b/>
          <w:bCs/>
        </w:rPr>
        <w:t>L'utile operativo</w:t>
      </w:r>
      <w:r>
        <w:t xml:space="preserve"> nel 2025 dovrebbe essere di 67,5 miliardi di dollari per un margine operativo netto del 6,7% (in miglioramento rispetto al 6,4% previsto nel 2024).</w:t>
      </w:r>
    </w:p>
    <w:p w14:paraId="3331203F" w14:textId="7B79C795" w:rsidR="006E04BB" w:rsidRDefault="006E04BB" w:rsidP="006E04BB">
      <w:r>
        <w:t xml:space="preserve">-I </w:t>
      </w:r>
      <w:r w:rsidRPr="00CF4896">
        <w:rPr>
          <w:b/>
          <w:bCs/>
        </w:rPr>
        <w:t>ricavi totali</w:t>
      </w:r>
      <w:r>
        <w:t xml:space="preserve"> del settore dovrebbero </w:t>
      </w:r>
      <w:r w:rsidR="00CF4896">
        <w:t>aggirarsi sui</w:t>
      </w:r>
      <w:r>
        <w:t xml:space="preserve"> 1.007.000 miliardi di dollari. Si tratta di un aumento del 4,4% rispetto al 2024 e sarà la prima volta che i ricavi del settore supereranno la soglia dei 1.000 miliardi di dollari. Le </w:t>
      </w:r>
      <w:r w:rsidRPr="00CF4896">
        <w:rPr>
          <w:b/>
          <w:bCs/>
        </w:rPr>
        <w:t>spese</w:t>
      </w:r>
      <w:r>
        <w:t xml:space="preserve"> sono previste in crescita del 4,0% a 940 miliardi di dollari.</w:t>
      </w:r>
    </w:p>
    <w:p w14:paraId="7EAEE2DB" w14:textId="545EC639" w:rsidR="006E04BB" w:rsidRDefault="006E04BB" w:rsidP="006E04BB">
      <w:r>
        <w:t xml:space="preserve">-Il </w:t>
      </w:r>
      <w:r w:rsidRPr="00CF4896">
        <w:rPr>
          <w:b/>
          <w:bCs/>
        </w:rPr>
        <w:t>numero di passeggeri</w:t>
      </w:r>
      <w:r>
        <w:t xml:space="preserve"> dovrebbe raggiungere i 5,2 miliardi nel 2025, con un aumento del 6,7% rispetto al 2024 e</w:t>
      </w:r>
      <w:r w:rsidR="00CF4896">
        <w:t>d è</w:t>
      </w:r>
      <w:r>
        <w:t xml:space="preserve"> la prima volta che il numero di </w:t>
      </w:r>
      <w:proofErr w:type="gramStart"/>
      <w:r>
        <w:t>passeggeri  supera</w:t>
      </w:r>
      <w:proofErr w:type="gramEnd"/>
      <w:r>
        <w:t xml:space="preserve"> la soglia dei cinque miliardi</w:t>
      </w:r>
      <w:r w:rsidR="00CF4896">
        <w:t xml:space="preserve"> che comunque è pressoché sfiorata nel 2024</w:t>
      </w:r>
      <w:r>
        <w:t>.</w:t>
      </w:r>
    </w:p>
    <w:p w14:paraId="6FCCD3C4" w14:textId="1641E0D3" w:rsidR="006E04BB" w:rsidRDefault="006E04BB" w:rsidP="006E04BB">
      <w:r>
        <w:t xml:space="preserve">Il </w:t>
      </w:r>
      <w:r w:rsidRPr="00CF4896">
        <w:rPr>
          <w:b/>
          <w:bCs/>
        </w:rPr>
        <w:t>volume delle merci</w:t>
      </w:r>
      <w:r>
        <w:t xml:space="preserve"> dovrebbe raggiungere i 72,5 milioni di tonnellate, con un aumento del 5,8% rispetto al 2024.</w:t>
      </w:r>
    </w:p>
    <w:p w14:paraId="103C8C30" w14:textId="77777777" w:rsidR="00CF4896" w:rsidRDefault="006E04BB" w:rsidP="00CF4896">
      <w:pPr>
        <w:spacing w:after="0"/>
      </w:pPr>
      <w:r>
        <w:t xml:space="preserve">-Il </w:t>
      </w:r>
      <w:r w:rsidRPr="00CF4896">
        <w:rPr>
          <w:b/>
          <w:bCs/>
        </w:rPr>
        <w:t>rendimento del capitale investito (ROIC</w:t>
      </w:r>
      <w:r>
        <w:t xml:space="preserve">) per il settore globale dovrebbe essere del 6,8% nel 2025. Sebbene si tratti di un miglioramento rispetto al ROIC del 6,6% previsto per il 2024, i rendimenti del settore a livello globale rimangono inferiori al costo medio ponderato del capitale. Il ROIC è più forte per le compagnie aeree in Europa, Medio Oriente e America Latina, dove ha superato il costo del capitale. </w:t>
      </w:r>
    </w:p>
    <w:p w14:paraId="4DBDD2C8" w14:textId="4ABB1DDF" w:rsidR="006E04BB" w:rsidRDefault="006E04BB" w:rsidP="006E04BB">
      <w:r>
        <w:t xml:space="preserve">Circa quest’ultimo </w:t>
      </w:r>
      <w:r w:rsidR="0068584B">
        <w:t>parametro</w:t>
      </w:r>
      <w:r>
        <w:t xml:space="preserve"> va ricordato come, storicamente, l'industria del trasporto aereo ha faticato ad ottenere rendimenti che gli investitori azionari si aspettano di ricevere in cambio del rischio del loro capitale. In altre parole, il rendimento del capitale investito (ROIC) è stato tipicamente inferiore al costo medio ponderato del capitale (WACC) nel settore aereo. Sebbene ciò sia vero </w:t>
      </w:r>
      <w:r w:rsidR="00CF4896">
        <w:t>dal punto di vista</w:t>
      </w:r>
      <w:r>
        <w:t xml:space="preserve"> globale, non è necessariamente così in ogni regione (o paese, o compagnia aerea). Nei quattro anni precedenti alla pandemia, </w:t>
      </w:r>
      <w:r w:rsidR="00CF4896">
        <w:t>la IATA stima</w:t>
      </w:r>
      <w:r>
        <w:t xml:space="preserve"> che gli investitori azionari in Europa e Nord America abbiano ricevuto rendimenti superiori al costo del capitale, favorendo l'apparente passaggio dell'intero settore verso un futuro finanziario più sostenibile.</w:t>
      </w:r>
    </w:p>
    <w:p w14:paraId="436ABD82" w14:textId="77777777" w:rsidR="000C5802" w:rsidRDefault="000C5802" w:rsidP="000C5802">
      <w:pPr>
        <w:spacing w:after="0"/>
      </w:pPr>
      <w:r>
        <w:t>Allorché si dice che n</w:t>
      </w:r>
      <w:r w:rsidR="00AA3A2B" w:rsidRPr="00AA3A2B">
        <w:t>el 2025 i ricavi del settore supereranno per la prima volta i mille miliardi di dollari</w:t>
      </w:r>
      <w:r>
        <w:t>, val la pena soffermarsi su questo dato e mettere in evidenza come esso corrisponda a</w:t>
      </w:r>
      <w:r w:rsidR="0068584B">
        <w:t xml:space="preserve"> </w:t>
      </w:r>
      <w:proofErr w:type="gramStart"/>
      <w:r w:rsidR="00AA3A2B" w:rsidRPr="00AA3A2B">
        <w:t xml:space="preserve">quasi </w:t>
      </w:r>
      <w:r>
        <w:t xml:space="preserve"> </w:t>
      </w:r>
      <w:r w:rsidR="00AA3A2B" w:rsidRPr="00AA3A2B">
        <w:t>l</w:t>
      </w:r>
      <w:proofErr w:type="gramEnd"/>
      <w:r w:rsidR="00AA3A2B" w:rsidRPr="00AA3A2B">
        <w:t>'1% dell'economia globale. Quest</w:t>
      </w:r>
      <w:r w:rsidR="0068584B">
        <w:t>a percentuale</w:t>
      </w:r>
      <w:r w:rsidR="00AA3A2B" w:rsidRPr="00AA3A2B">
        <w:t xml:space="preserve"> fa delle compagnie aeree un settore strategicamente importante</w:t>
      </w:r>
      <w:r w:rsidR="0068584B">
        <w:t xml:space="preserve"> </w:t>
      </w:r>
      <w:r>
        <w:t xml:space="preserve">anche se </w:t>
      </w:r>
      <w:r>
        <w:lastRenderedPageBreak/>
        <w:t>sull’altro piatto della bilancia dobbiamo pure</w:t>
      </w:r>
      <w:r w:rsidR="0068584B">
        <w:t xml:space="preserve"> ricorda</w:t>
      </w:r>
      <w:r>
        <w:t>re</w:t>
      </w:r>
      <w:r w:rsidR="0068584B">
        <w:t xml:space="preserve"> </w:t>
      </w:r>
      <w:r w:rsidR="00AA3A2B" w:rsidRPr="00AA3A2B">
        <w:t xml:space="preserve">che le compagnie aeree hanno costi per 940 miliardi di dollari, senza </w:t>
      </w:r>
      <w:proofErr w:type="gramStart"/>
      <w:r w:rsidR="00AA3A2B" w:rsidRPr="00AA3A2B">
        <w:t>contare  interessi</w:t>
      </w:r>
      <w:proofErr w:type="gramEnd"/>
      <w:r w:rsidR="00AA3A2B" w:rsidRPr="00AA3A2B">
        <w:t xml:space="preserve"> e le tasse</w:t>
      </w:r>
      <w:r>
        <w:t xml:space="preserve"> ed il</w:t>
      </w:r>
      <w:r w:rsidR="00AA3A2B" w:rsidRPr="00AA3A2B">
        <w:t xml:space="preserve"> loro margine di profitto netto è di appena il 3,6%.</w:t>
      </w:r>
    </w:p>
    <w:p w14:paraId="55A89F7D" w14:textId="1FAAE51D" w:rsidR="00AA3A2B" w:rsidRDefault="00AA3A2B" w:rsidP="000C5802">
      <w:pPr>
        <w:spacing w:after="0"/>
      </w:pPr>
      <w:r w:rsidRPr="00AA3A2B">
        <w:t xml:space="preserve">In altre parole, il margine tra profitto e perdita, anche in un anno positivo come quello previsto per il 2025, è di soli 7 dollari per passeggero. Con margini così sottili, </w:t>
      </w:r>
      <w:r w:rsidR="000C5802">
        <w:t xml:space="preserve">è essenziale che </w:t>
      </w:r>
      <w:r w:rsidRPr="00AA3A2B">
        <w:t>le compagnie aeree continu</w:t>
      </w:r>
      <w:r w:rsidR="000C5802">
        <w:t>ino</w:t>
      </w:r>
      <w:r w:rsidRPr="00AA3A2B">
        <w:t xml:space="preserve"> a tenere sotto controllo ogni costo e ad insistere su un'efficienza </w:t>
      </w:r>
      <w:r w:rsidR="0068584B">
        <w:t>ottimale</w:t>
      </w:r>
      <w:r w:rsidRPr="00AA3A2B">
        <w:t xml:space="preserve"> in tutta la catena di fornitura</w:t>
      </w:r>
      <w:r w:rsidR="0068584B">
        <w:t xml:space="preserve"> la quale comprende purtroppo anche</w:t>
      </w:r>
      <w:r w:rsidRPr="00AA3A2B">
        <w:t xml:space="preserve"> fornitori di infrastrutture monopolistiche.</w:t>
      </w:r>
    </w:p>
    <w:p w14:paraId="6BAAFEBF" w14:textId="5988CB00" w:rsidR="0038236A" w:rsidRDefault="0038236A" w:rsidP="000C5802">
      <w:pPr>
        <w:spacing w:after="0"/>
      </w:pPr>
      <w:r>
        <w:t>Nell’ambito dei profitti netti, ottenuti e stimati, è sempre la regione del Nord America a detenere il primo posto.</w:t>
      </w:r>
    </w:p>
    <w:p w14:paraId="66F1DB2F" w14:textId="77777777" w:rsidR="000C5802" w:rsidRPr="0068584B" w:rsidRDefault="000C5802" w:rsidP="000C5802">
      <w:pPr>
        <w:spacing w:after="0"/>
        <w:rPr>
          <w:i/>
          <w:iCs/>
        </w:rPr>
      </w:pPr>
    </w:p>
    <w:p w14:paraId="518850D1" w14:textId="5E3DD733" w:rsidR="00AA3A2B" w:rsidRPr="0068584B" w:rsidRDefault="00AA3A2B" w:rsidP="006E04BB">
      <w:pPr>
        <w:rPr>
          <w:i/>
          <w:iCs/>
          <w:u w:val="single"/>
        </w:rPr>
      </w:pPr>
      <w:r w:rsidRPr="0068584B">
        <w:rPr>
          <w:i/>
          <w:iCs/>
          <w:u w:val="single"/>
        </w:rPr>
        <w:t>Profitti netti x regione geografica</w:t>
      </w:r>
    </w:p>
    <w:p w14:paraId="43A17928" w14:textId="4DDDDE57" w:rsidR="00AA3A2B" w:rsidRPr="00AA3A2B" w:rsidRDefault="00AA3A2B" w:rsidP="006E04BB">
      <w:pPr>
        <w:rPr>
          <w:b/>
          <w:bCs/>
          <w:i/>
          <w:iCs/>
          <w:sz w:val="18"/>
          <w:szCs w:val="18"/>
        </w:rPr>
      </w:pPr>
      <w:r>
        <w:tab/>
      </w:r>
      <w:r>
        <w:tab/>
      </w:r>
      <w:r w:rsidRPr="00AA3A2B">
        <w:rPr>
          <w:b/>
          <w:bCs/>
          <w:i/>
          <w:iCs/>
          <w:sz w:val="18"/>
          <w:szCs w:val="18"/>
        </w:rPr>
        <w:t>Stime 2025</w:t>
      </w:r>
      <w:r>
        <w:rPr>
          <w:b/>
          <w:bCs/>
          <w:i/>
          <w:iCs/>
          <w:sz w:val="18"/>
          <w:szCs w:val="18"/>
        </w:rPr>
        <w:tab/>
      </w:r>
      <w:r>
        <w:rPr>
          <w:b/>
          <w:bCs/>
          <w:i/>
          <w:iCs/>
          <w:sz w:val="18"/>
          <w:szCs w:val="18"/>
        </w:rPr>
        <w:tab/>
      </w:r>
      <w:r w:rsidR="0068584B">
        <w:rPr>
          <w:b/>
          <w:bCs/>
          <w:i/>
          <w:iCs/>
          <w:sz w:val="18"/>
          <w:szCs w:val="18"/>
        </w:rPr>
        <w:t xml:space="preserve">          Previsto </w:t>
      </w:r>
      <w:r>
        <w:rPr>
          <w:b/>
          <w:bCs/>
          <w:i/>
          <w:iCs/>
          <w:sz w:val="18"/>
          <w:szCs w:val="18"/>
        </w:rPr>
        <w:t>2024</w:t>
      </w:r>
    </w:p>
    <w:p w14:paraId="0B55BF27" w14:textId="4F95DF39" w:rsidR="00AA3A2B" w:rsidRDefault="00AA3A2B" w:rsidP="006E04BB">
      <w:r>
        <w:t>Nord America</w:t>
      </w:r>
      <w:r>
        <w:tab/>
        <w:t>13.8 miliardi di dollari</w:t>
      </w:r>
      <w:r>
        <w:tab/>
      </w:r>
      <w:r>
        <w:tab/>
        <w:t>(11.8)</w:t>
      </w:r>
    </w:p>
    <w:p w14:paraId="524581EA" w14:textId="22029D24" w:rsidR="00AA3A2B" w:rsidRDefault="00AA3A2B" w:rsidP="006E04BB">
      <w:r>
        <w:t>Europa</w:t>
      </w:r>
      <w:r>
        <w:tab/>
      </w:r>
      <w:r>
        <w:tab/>
        <w:t>11.9</w:t>
      </w:r>
      <w:proofErr w:type="gramStart"/>
      <w:r>
        <w:t xml:space="preserve">   “</w:t>
      </w:r>
      <w:proofErr w:type="gramEnd"/>
      <w:r>
        <w:tab/>
      </w:r>
      <w:r>
        <w:tab/>
        <w:t>“</w:t>
      </w:r>
      <w:r>
        <w:tab/>
      </w:r>
      <w:r>
        <w:tab/>
        <w:t>(10.0)</w:t>
      </w:r>
    </w:p>
    <w:p w14:paraId="547967CC" w14:textId="53A79B80" w:rsidR="00F059D7" w:rsidRDefault="00F059D7" w:rsidP="006E04BB">
      <w:r>
        <w:t xml:space="preserve">Medio Oriente    5.9 </w:t>
      </w:r>
      <w:proofErr w:type="gramStart"/>
      <w:r>
        <w:t xml:space="preserve">   “</w:t>
      </w:r>
      <w:proofErr w:type="gramEnd"/>
      <w:r>
        <w:tab/>
      </w:r>
      <w:r>
        <w:tab/>
        <w:t>“</w:t>
      </w:r>
      <w:r>
        <w:tab/>
      </w:r>
      <w:r>
        <w:tab/>
        <w:t xml:space="preserve"> </w:t>
      </w:r>
      <w:r w:rsidR="0068584B">
        <w:t xml:space="preserve"> </w:t>
      </w:r>
      <w:r>
        <w:t>(5.3)</w:t>
      </w:r>
    </w:p>
    <w:p w14:paraId="69378858" w14:textId="60056CEB" w:rsidR="00AA3A2B" w:rsidRDefault="00AA3A2B" w:rsidP="006E04BB">
      <w:r>
        <w:t>Asia/Pacifico</w:t>
      </w:r>
      <w:r>
        <w:tab/>
        <w:t xml:space="preserve"> 3.6 </w:t>
      </w:r>
      <w:proofErr w:type="gramStart"/>
      <w:r>
        <w:t xml:space="preserve">   “</w:t>
      </w:r>
      <w:proofErr w:type="gramEnd"/>
      <w:r>
        <w:tab/>
      </w:r>
      <w:r>
        <w:tab/>
        <w:t>“</w:t>
      </w:r>
      <w:r>
        <w:tab/>
      </w:r>
      <w:r>
        <w:tab/>
        <w:t xml:space="preserve"> </w:t>
      </w:r>
      <w:r w:rsidR="0068584B">
        <w:t xml:space="preserve"> </w:t>
      </w:r>
      <w:r>
        <w:t>(3.2)</w:t>
      </w:r>
    </w:p>
    <w:p w14:paraId="2B6011BE" w14:textId="0C7863F6" w:rsidR="00F059D7" w:rsidRDefault="00F059D7" w:rsidP="006E04BB">
      <w:r>
        <w:t>America Latina</w:t>
      </w:r>
      <w:proofErr w:type="gramStart"/>
      <w:r>
        <w:tab/>
        <w:t xml:space="preserve">  1.3</w:t>
      </w:r>
      <w:proofErr w:type="gramEnd"/>
      <w:r>
        <w:t xml:space="preserve">   “</w:t>
      </w:r>
      <w:r>
        <w:tab/>
      </w:r>
      <w:r>
        <w:tab/>
        <w:t>“</w:t>
      </w:r>
      <w:r>
        <w:tab/>
      </w:r>
      <w:r>
        <w:tab/>
        <w:t xml:space="preserve">  (1.0)</w:t>
      </w:r>
    </w:p>
    <w:p w14:paraId="60817742" w14:textId="0F0CDE58" w:rsidR="00F059D7" w:rsidRDefault="00F059D7" w:rsidP="006E04BB">
      <w:r>
        <w:t>Africa</w:t>
      </w:r>
      <w:r>
        <w:tab/>
      </w:r>
      <w:proofErr w:type="gramStart"/>
      <w:r>
        <w:tab/>
        <w:t xml:space="preserve">  0.2</w:t>
      </w:r>
      <w:proofErr w:type="gramEnd"/>
      <w:r>
        <w:t xml:space="preserve">   “</w:t>
      </w:r>
      <w:r>
        <w:tab/>
      </w:r>
      <w:r>
        <w:tab/>
        <w:t>“</w:t>
      </w:r>
      <w:r>
        <w:tab/>
      </w:r>
      <w:r>
        <w:tab/>
        <w:t xml:space="preserve">  (0.1)</w:t>
      </w:r>
    </w:p>
    <w:p w14:paraId="5EB12AA5" w14:textId="77777777" w:rsidR="006E04BB" w:rsidRDefault="006E04BB" w:rsidP="006E04BB"/>
    <w:p w14:paraId="3A46D230" w14:textId="22C8E2E1" w:rsidR="003806E6" w:rsidRPr="0068584B" w:rsidRDefault="0068584B" w:rsidP="003806E6">
      <w:pPr>
        <w:rPr>
          <w:i/>
          <w:iCs/>
          <w:color w:val="4472C4" w:themeColor="accent1"/>
        </w:rPr>
      </w:pPr>
      <w:r>
        <w:tab/>
      </w:r>
      <w:r w:rsidR="00C718F3">
        <w:tab/>
      </w:r>
      <w:r w:rsidR="00C718F3">
        <w:tab/>
      </w:r>
      <w:r w:rsidR="00C718F3">
        <w:tab/>
      </w:r>
      <w:r w:rsidR="00C718F3">
        <w:tab/>
      </w:r>
    </w:p>
    <w:p w14:paraId="52AD7143" w14:textId="77777777" w:rsidR="004C4DF2" w:rsidRDefault="004C4DF2" w:rsidP="004C4DF2"/>
    <w:p w14:paraId="749307D1" w14:textId="6FE0A75F" w:rsidR="004C4DF2" w:rsidRDefault="009A0DDA" w:rsidP="00954C2B">
      <w:pPr>
        <w:pStyle w:val="Paragrafoelenco"/>
        <w:numPr>
          <w:ilvl w:val="0"/>
          <w:numId w:val="1"/>
        </w:numPr>
        <w:rPr>
          <w:sz w:val="20"/>
          <w:szCs w:val="20"/>
        </w:rPr>
      </w:pPr>
      <w:r w:rsidRPr="00954C2B">
        <w:rPr>
          <w:sz w:val="20"/>
          <w:szCs w:val="20"/>
        </w:rPr>
        <w:t xml:space="preserve">L’Assemblea annuale si è tenuta a Dubai. </w:t>
      </w:r>
      <w:r w:rsidR="004C4DF2" w:rsidRPr="00954C2B">
        <w:rPr>
          <w:sz w:val="20"/>
          <w:szCs w:val="20"/>
        </w:rPr>
        <w:t xml:space="preserve">3 Giugno </w:t>
      </w:r>
      <w:proofErr w:type="gramStart"/>
      <w:r w:rsidR="004C4DF2" w:rsidRPr="00954C2B">
        <w:rPr>
          <w:sz w:val="20"/>
          <w:szCs w:val="20"/>
        </w:rPr>
        <w:t>2024 ,</w:t>
      </w:r>
      <w:proofErr w:type="gramEnd"/>
      <w:r w:rsidR="004C4DF2" w:rsidRPr="00954C2B">
        <w:rPr>
          <w:sz w:val="20"/>
          <w:szCs w:val="20"/>
        </w:rPr>
        <w:t xml:space="preserve"> Press Release n. 24 della IATA</w:t>
      </w:r>
      <w:r w:rsidR="0038236A">
        <w:rPr>
          <w:sz w:val="20"/>
          <w:szCs w:val="20"/>
        </w:rPr>
        <w:t>.</w:t>
      </w:r>
    </w:p>
    <w:p w14:paraId="3F1DC82E" w14:textId="1881E8B1" w:rsidR="00C718F3" w:rsidRDefault="00C718F3" w:rsidP="00954C2B">
      <w:pPr>
        <w:pStyle w:val="Paragrafoelenco"/>
        <w:numPr>
          <w:ilvl w:val="0"/>
          <w:numId w:val="1"/>
        </w:numPr>
        <w:rPr>
          <w:sz w:val="20"/>
          <w:szCs w:val="20"/>
        </w:rPr>
      </w:pPr>
      <w:r>
        <w:rPr>
          <w:sz w:val="20"/>
          <w:szCs w:val="20"/>
        </w:rPr>
        <w:t>La tabella pubblicata è tratta da: “Global Outlook for Air Transport 2024, IATA, Giugno 2024</w:t>
      </w:r>
      <w:r w:rsidR="0038236A">
        <w:rPr>
          <w:sz w:val="20"/>
          <w:szCs w:val="20"/>
        </w:rPr>
        <w:t>.</w:t>
      </w:r>
    </w:p>
    <w:p w14:paraId="7F3C60F8" w14:textId="69999D06" w:rsidR="00912CEA" w:rsidRPr="00E759BB" w:rsidRDefault="00912CEA" w:rsidP="00912CEA">
      <w:pPr>
        <w:pStyle w:val="Paragrafoelenco"/>
        <w:numPr>
          <w:ilvl w:val="0"/>
          <w:numId w:val="1"/>
        </w:numPr>
        <w:rPr>
          <w:sz w:val="20"/>
          <w:szCs w:val="20"/>
        </w:rPr>
      </w:pPr>
      <w:r w:rsidRPr="00C718F3">
        <w:rPr>
          <w:sz w:val="18"/>
          <w:szCs w:val="18"/>
        </w:rPr>
        <w:t xml:space="preserve">Press Release n. 58 del 10 dicembre </w:t>
      </w:r>
      <w:proofErr w:type="gramStart"/>
      <w:r w:rsidRPr="00C718F3">
        <w:rPr>
          <w:sz w:val="18"/>
          <w:szCs w:val="18"/>
        </w:rPr>
        <w:t>2024</w:t>
      </w:r>
      <w:r w:rsidR="007862BB" w:rsidRPr="00C718F3">
        <w:rPr>
          <w:sz w:val="18"/>
          <w:szCs w:val="18"/>
        </w:rPr>
        <w:t xml:space="preserve"> ;</w:t>
      </w:r>
      <w:proofErr w:type="gramEnd"/>
      <w:r w:rsidR="007862BB" w:rsidRPr="00C718F3">
        <w:rPr>
          <w:sz w:val="18"/>
          <w:szCs w:val="18"/>
        </w:rPr>
        <w:t xml:space="preserve"> </w:t>
      </w:r>
      <w:hyperlink r:id="rId7" w:history="1">
        <w:r w:rsidR="00E759BB" w:rsidRPr="001C728D">
          <w:rPr>
            <w:rStyle w:val="Collegamentoipertestuale"/>
            <w:sz w:val="18"/>
            <w:szCs w:val="18"/>
          </w:rPr>
          <w:t>https://www.iata.org/en/pressroom/2024-releases/2024-12-10-01/</w:t>
        </w:r>
      </w:hyperlink>
    </w:p>
    <w:p w14:paraId="1D7E089A" w14:textId="77777777" w:rsidR="00E759BB" w:rsidRDefault="00E759BB" w:rsidP="00E759BB">
      <w:pPr>
        <w:rPr>
          <w:sz w:val="20"/>
          <w:szCs w:val="20"/>
        </w:rPr>
      </w:pPr>
    </w:p>
    <w:p w14:paraId="0B082913" w14:textId="77777777" w:rsidR="00E759BB" w:rsidRDefault="00E759BB" w:rsidP="00E759BB">
      <w:pPr>
        <w:rPr>
          <w:sz w:val="20"/>
          <w:szCs w:val="20"/>
        </w:rPr>
      </w:pPr>
    </w:p>
    <w:p w14:paraId="6879E036" w14:textId="0B4C8FA2" w:rsidR="00E759BB" w:rsidRDefault="00E759BB" w:rsidP="00E759BB">
      <w:pPr>
        <w:ind w:left="2124" w:firstLine="708"/>
        <w:rPr>
          <w:i/>
          <w:iCs/>
          <w:color w:val="4472C4" w:themeColor="accent1"/>
        </w:rPr>
      </w:pPr>
      <w:r>
        <w:rPr>
          <w:i/>
          <w:iCs/>
          <w:color w:val="4472C4" w:themeColor="accent1"/>
        </w:rPr>
        <w:t xml:space="preserve">        </w:t>
      </w:r>
      <w:r w:rsidRPr="0068584B">
        <w:rPr>
          <w:i/>
          <w:iCs/>
          <w:color w:val="4472C4" w:themeColor="accent1"/>
        </w:rPr>
        <w:t>Aviation-Industry-News.com</w:t>
      </w:r>
    </w:p>
    <w:p w14:paraId="0B6774C7" w14:textId="246B7622" w:rsidR="00E759BB" w:rsidRPr="00E759BB" w:rsidRDefault="00E759BB" w:rsidP="00E759BB">
      <w:pPr>
        <w:rPr>
          <w:i/>
          <w:iCs/>
          <w:color w:val="4472C4" w:themeColor="accent1"/>
          <w:sz w:val="16"/>
          <w:szCs w:val="16"/>
        </w:rPr>
      </w:pPr>
      <w:r>
        <w:rPr>
          <w:i/>
          <w:iCs/>
          <w:color w:val="4472C4" w:themeColor="accent1"/>
          <w:sz w:val="16"/>
          <w:szCs w:val="16"/>
        </w:rPr>
        <w:t>17/12/2024</w:t>
      </w:r>
    </w:p>
    <w:p w14:paraId="06C8D5CF" w14:textId="77777777" w:rsidR="00E759BB" w:rsidRPr="00E759BB" w:rsidRDefault="00E759BB" w:rsidP="00E759BB">
      <w:pPr>
        <w:rPr>
          <w:sz w:val="20"/>
          <w:szCs w:val="20"/>
        </w:rPr>
      </w:pPr>
    </w:p>
    <w:p w14:paraId="307933AE" w14:textId="77777777" w:rsidR="004E3756" w:rsidRDefault="004E3756"/>
    <w:p w14:paraId="40970E85" w14:textId="77777777" w:rsidR="00813DB7" w:rsidRDefault="00813DB7"/>
    <w:p w14:paraId="000068B3" w14:textId="77777777" w:rsidR="00813DB7" w:rsidRDefault="00813DB7"/>
    <w:p w14:paraId="3D7EE542" w14:textId="77777777" w:rsidR="00813DB7" w:rsidRDefault="00813DB7"/>
    <w:p w14:paraId="2540D8D3" w14:textId="77777777" w:rsidR="00813DB7" w:rsidRDefault="00813DB7"/>
    <w:p w14:paraId="57B30EE6" w14:textId="77777777" w:rsidR="00813DB7" w:rsidRDefault="00813DB7"/>
    <w:p w14:paraId="00B719F0" w14:textId="77777777" w:rsidR="00813DB7" w:rsidRDefault="00813DB7"/>
    <w:p w14:paraId="73F30FBA" w14:textId="77777777" w:rsidR="00813DB7" w:rsidRDefault="00813DB7"/>
    <w:p w14:paraId="25946F61" w14:textId="77777777" w:rsidR="00813DB7" w:rsidRPr="001F5A33" w:rsidRDefault="00813DB7" w:rsidP="00813DB7">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roofErr w:type="gramStart"/>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E’</w:t>
      </w:r>
      <w:proofErr w:type="gramEnd"/>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uscito il nuovo libro:</w:t>
      </w:r>
    </w:p>
    <w:p w14:paraId="4A81B541" w14:textId="77777777" w:rsidR="00813DB7" w:rsidRDefault="00813DB7" w:rsidP="00813DB7">
      <w:pPr>
        <w:jc w:val="center"/>
      </w:pPr>
      <w:r w:rsidRPr="001F5A33">
        <w:rPr>
          <w:noProof/>
          <w:sz w:val="18"/>
          <w:szCs w:val="18"/>
        </w:rPr>
        <w:drawing>
          <wp:inline distT="0" distB="0" distL="0" distR="0" wp14:anchorId="1B8C2EA6" wp14:editId="6BE65D69">
            <wp:extent cx="3538800" cy="4946400"/>
            <wp:effectExtent l="0" t="0" r="5080" b="6985"/>
            <wp:docPr id="11624353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8800" cy="4946400"/>
                    </a:xfrm>
                    <a:prstGeom prst="rect">
                      <a:avLst/>
                    </a:prstGeom>
                    <a:noFill/>
                    <a:ln>
                      <a:noFill/>
                    </a:ln>
                  </pic:spPr>
                </pic:pic>
              </a:graphicData>
            </a:graphic>
          </wp:inline>
        </w:drawing>
      </w:r>
    </w:p>
    <w:p w14:paraId="6D13505C" w14:textId="77777777" w:rsidR="00813DB7" w:rsidRDefault="00813DB7" w:rsidP="00813DB7"/>
    <w:p w14:paraId="18FEB9C8" w14:textId="77777777" w:rsidR="00813DB7" w:rsidRDefault="00813DB7" w:rsidP="00813DB7">
      <w:pPr>
        <w:jc w:val="center"/>
      </w:pPr>
      <w:r>
        <w:rPr>
          <w:noProof/>
          <w:sz w:val="18"/>
          <w:szCs w:val="18"/>
        </w:rPr>
        <w:drawing>
          <wp:inline distT="0" distB="0" distL="0" distR="0" wp14:anchorId="7F9A6D71" wp14:editId="62658242">
            <wp:extent cx="1778400" cy="1497600"/>
            <wp:effectExtent l="0" t="0" r="0" b="7620"/>
            <wp:docPr id="7842408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0829" name="Immagine 784240829"/>
                    <pic:cNvPicPr/>
                  </pic:nvPicPr>
                  <pic:blipFill>
                    <a:blip r:embed="rId9">
                      <a:extLst>
                        <a:ext uri="{28A0092B-C50C-407E-A947-70E740481C1C}">
                          <a14:useLocalDpi xmlns:a14="http://schemas.microsoft.com/office/drawing/2010/main" val="0"/>
                        </a:ext>
                      </a:extLst>
                    </a:blip>
                    <a:stretch>
                      <a:fillRect/>
                    </a:stretch>
                  </pic:blipFill>
                  <pic:spPr>
                    <a:xfrm>
                      <a:off x="0" y="0"/>
                      <a:ext cx="1778400" cy="1497600"/>
                    </a:xfrm>
                    <a:prstGeom prst="rect">
                      <a:avLst/>
                    </a:prstGeom>
                  </pic:spPr>
                </pic:pic>
              </a:graphicData>
            </a:graphic>
          </wp:inline>
        </w:drawing>
      </w:r>
    </w:p>
    <w:p w14:paraId="7F29F7E8" w14:textId="77777777" w:rsidR="00813DB7" w:rsidRDefault="00813DB7" w:rsidP="00813DB7">
      <w:pPr>
        <w:jc w:val="center"/>
      </w:pPr>
    </w:p>
    <w:p w14:paraId="08187FB6" w14:textId="77777777" w:rsidR="00813DB7" w:rsidRDefault="00813DB7" w:rsidP="00813DB7">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2EE8297B" w14:textId="77777777" w:rsidR="00813DB7" w:rsidRPr="00D06176" w:rsidRDefault="00813DB7" w:rsidP="00813DB7">
      <w:pPr>
        <w:pBdr>
          <w:top w:val="single" w:sz="4" w:space="1" w:color="auto"/>
          <w:left w:val="single" w:sz="4" w:space="4" w:color="auto"/>
          <w:bottom w:val="single" w:sz="4" w:space="1" w:color="auto"/>
          <w:right w:val="single" w:sz="4" w:space="4" w:color="auto"/>
        </w:pBdr>
        <w:rPr>
          <w:rFonts w:ascii="Bahnschrift SemiCondensed" w:hAnsi="Bahnschrift SemiCondensed"/>
          <w:color w:val="0563C1" w:themeColor="hyperlink"/>
          <w:sz w:val="24"/>
          <w:szCs w:val="24"/>
          <w:u w:val="single"/>
        </w:rPr>
      </w:pPr>
      <w:r>
        <w:rPr>
          <w:rFonts w:ascii="Bahnschrift SemiCondensed" w:hAnsi="Bahnschrift SemiCondensed"/>
          <w:color w:val="4472C4" w:themeColor="accent1"/>
          <w:sz w:val="24"/>
          <w:szCs w:val="24"/>
        </w:rPr>
        <w:t xml:space="preserve"> INVIARE RICHIESTE A: </w:t>
      </w:r>
      <w:hyperlink r:id="rId10" w:history="1">
        <w:r>
          <w:rPr>
            <w:rStyle w:val="Collegamentoipertestuale"/>
            <w:rFonts w:ascii="Bahnschrift SemiCondensed" w:hAnsi="Bahnschrift SemiCondensed"/>
            <w:sz w:val="24"/>
            <w:szCs w:val="24"/>
          </w:rPr>
          <w:t>antonio.bordoni@yahoo.it</w:t>
        </w:r>
      </w:hyperlink>
    </w:p>
    <w:p w14:paraId="55DAAC46" w14:textId="5760147E" w:rsidR="004E3756" w:rsidRDefault="004E3756"/>
    <w:sectPr w:rsidR="004E37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C05F7"/>
    <w:multiLevelType w:val="hybridMultilevel"/>
    <w:tmpl w:val="D4205E26"/>
    <w:lvl w:ilvl="0" w:tplc="895C2E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717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D4"/>
    <w:rsid w:val="000C5802"/>
    <w:rsid w:val="001E57B6"/>
    <w:rsid w:val="001F24DA"/>
    <w:rsid w:val="0021559E"/>
    <w:rsid w:val="002B518A"/>
    <w:rsid w:val="002D13FA"/>
    <w:rsid w:val="003319B6"/>
    <w:rsid w:val="003806E6"/>
    <w:rsid w:val="0038236A"/>
    <w:rsid w:val="00386F79"/>
    <w:rsid w:val="00433135"/>
    <w:rsid w:val="00456597"/>
    <w:rsid w:val="004C4DF2"/>
    <w:rsid w:val="004D2A23"/>
    <w:rsid w:val="004E3756"/>
    <w:rsid w:val="0058329D"/>
    <w:rsid w:val="00595E7B"/>
    <w:rsid w:val="005A1DF9"/>
    <w:rsid w:val="005F677A"/>
    <w:rsid w:val="0068584B"/>
    <w:rsid w:val="006E04BB"/>
    <w:rsid w:val="007862BB"/>
    <w:rsid w:val="00813DB7"/>
    <w:rsid w:val="00841C68"/>
    <w:rsid w:val="00891AB9"/>
    <w:rsid w:val="008C0E76"/>
    <w:rsid w:val="00912CEA"/>
    <w:rsid w:val="00954C2B"/>
    <w:rsid w:val="009920C5"/>
    <w:rsid w:val="009A0DDA"/>
    <w:rsid w:val="009D3A69"/>
    <w:rsid w:val="00A34BBB"/>
    <w:rsid w:val="00AA3A2B"/>
    <w:rsid w:val="00BB5C5C"/>
    <w:rsid w:val="00BF18BA"/>
    <w:rsid w:val="00C31826"/>
    <w:rsid w:val="00C718F3"/>
    <w:rsid w:val="00CE06DC"/>
    <w:rsid w:val="00CF4896"/>
    <w:rsid w:val="00E178D4"/>
    <w:rsid w:val="00E759BB"/>
    <w:rsid w:val="00E76D64"/>
    <w:rsid w:val="00F059D7"/>
    <w:rsid w:val="00FC6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56BE"/>
  <w15:chartTrackingRefBased/>
  <w15:docId w15:val="{9A55ED6A-05E0-4226-A73A-9906C729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4C2B"/>
    <w:pPr>
      <w:ind w:left="720"/>
      <w:contextualSpacing/>
    </w:pPr>
  </w:style>
  <w:style w:type="character" w:styleId="Collegamentoipertestuale">
    <w:name w:val="Hyperlink"/>
    <w:basedOn w:val="Carpredefinitoparagrafo"/>
    <w:uiPriority w:val="99"/>
    <w:unhideWhenUsed/>
    <w:rsid w:val="00E759BB"/>
    <w:rPr>
      <w:color w:val="0563C1" w:themeColor="hyperlink"/>
      <w:u w:val="single"/>
    </w:rPr>
  </w:style>
  <w:style w:type="character" w:styleId="Menzionenonrisolta">
    <w:name w:val="Unresolved Mention"/>
    <w:basedOn w:val="Carpredefinitoparagrafo"/>
    <w:uiPriority w:val="99"/>
    <w:semiHidden/>
    <w:unhideWhenUsed/>
    <w:rsid w:val="00E75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iata.org/en/pressroom/2024-releases/2024-12-1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antonio.bordoni@yahoo.it"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1279</Words>
  <Characters>7291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27</cp:revision>
  <dcterms:created xsi:type="dcterms:W3CDTF">2024-12-15T16:37:00Z</dcterms:created>
  <dcterms:modified xsi:type="dcterms:W3CDTF">2024-12-17T08:34:00Z</dcterms:modified>
</cp:coreProperties>
</file>